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66CB" w14:textId="77777777" w:rsidR="004445D0" w:rsidRPr="004445D0" w:rsidRDefault="004445D0" w:rsidP="004445D0">
      <w:pPr>
        <w:spacing w:after="240"/>
        <w:jc w:val="center"/>
        <w:rPr>
          <w:rFonts w:eastAsia="Times New Roman" w:cs="Times New Roman"/>
          <w:sz w:val="28"/>
          <w:szCs w:val="28"/>
          <w:lang w:eastAsia="it-IT"/>
        </w:rPr>
      </w:pPr>
      <w:r w:rsidRPr="004445D0">
        <w:rPr>
          <w:rFonts w:eastAsia="Times New Roman" w:cs="Times New Roman"/>
          <w:sz w:val="28"/>
          <w:szCs w:val="28"/>
          <w:lang w:eastAsia="it-IT"/>
        </w:rPr>
        <w:t>Liberalconservatorismo</w:t>
      </w:r>
    </w:p>
    <w:p w14:paraId="189C7AC6" w14:textId="20A0262F" w:rsidR="004445D0" w:rsidRPr="004445D0" w:rsidRDefault="004445D0" w:rsidP="004445D0">
      <w:pPr>
        <w:rPr>
          <w:rFonts w:eastAsia="Times New Roman" w:cs="Times New Roman"/>
          <w:szCs w:val="24"/>
          <w:lang w:eastAsia="it-IT"/>
        </w:rPr>
      </w:pPr>
      <w:r w:rsidRPr="004445D0">
        <w:rPr>
          <w:rFonts w:eastAsia="Times New Roman" w:cs="Times New Roman"/>
          <w:szCs w:val="24"/>
          <w:lang w:eastAsia="it-IT"/>
        </w:rPr>
        <w:t xml:space="preserve">Nell’epoca contemporanea questa etichetta indica un paradigma che integra il conservatorismo con il liberalismo nella sua versione classica (in contrapposizione dunque al pensiero </w:t>
      </w:r>
      <w:r w:rsidRPr="004445D0">
        <w:rPr>
          <w:rFonts w:eastAsia="Times New Roman" w:cs="Times New Roman"/>
          <w:i/>
          <w:iCs/>
          <w:szCs w:val="24"/>
          <w:lang w:eastAsia="it-IT"/>
        </w:rPr>
        <w:t>liberal</w:t>
      </w:r>
      <w:r w:rsidRPr="004445D0">
        <w:rPr>
          <w:rFonts w:eastAsia="Times New Roman" w:cs="Times New Roman"/>
          <w:szCs w:val="24"/>
          <w:lang w:eastAsia="it-IT"/>
        </w:rPr>
        <w:t>); assumendo del primo la consapevolezza del proprio passato, il realismo, elementi identitari e la rivendicazione dell’Occidente e di alcuni valori</w:t>
      </w:r>
      <w:r>
        <w:rPr>
          <w:rFonts w:eastAsia="Times New Roman" w:cs="Times New Roman"/>
          <w:szCs w:val="24"/>
          <w:lang w:eastAsia="it-IT"/>
        </w:rPr>
        <w:t xml:space="preserve"> tradizionali oggi vituperati</w:t>
      </w:r>
      <w:r w:rsidRPr="004445D0">
        <w:rPr>
          <w:rFonts w:eastAsia="Times New Roman" w:cs="Times New Roman"/>
          <w:szCs w:val="24"/>
          <w:lang w:eastAsia="it-IT"/>
        </w:rPr>
        <w:t xml:space="preserve">; e del secondo la libertà </w:t>
      </w:r>
      <w:r w:rsidRPr="004445D0">
        <w:rPr>
          <w:rFonts w:eastAsia="Times New Roman" w:cs="Times New Roman"/>
          <w:i/>
          <w:iCs/>
          <w:szCs w:val="24"/>
          <w:lang w:eastAsia="it-IT"/>
        </w:rPr>
        <w:t>ex negativo</w:t>
      </w:r>
      <w:r w:rsidRPr="004445D0">
        <w:rPr>
          <w:rFonts w:eastAsia="Times New Roman" w:cs="Times New Roman"/>
          <w:szCs w:val="24"/>
          <w:lang w:eastAsia="it-IT"/>
        </w:rPr>
        <w:t>, con il corollario della difesa della proprietà privata e del mercato e di uno Stato snello.</w:t>
      </w:r>
    </w:p>
    <w:p w14:paraId="461ECFAD" w14:textId="77777777" w:rsidR="004445D0" w:rsidRPr="004445D0" w:rsidRDefault="004445D0" w:rsidP="004445D0">
      <w:pPr>
        <w:rPr>
          <w:rFonts w:eastAsia="Times New Roman" w:cs="Times New Roman"/>
          <w:szCs w:val="24"/>
          <w:lang w:eastAsia="it-IT"/>
        </w:rPr>
      </w:pPr>
      <w:r w:rsidRPr="004445D0">
        <w:rPr>
          <w:rFonts w:eastAsia="Times New Roman" w:cs="Times New Roman"/>
          <w:szCs w:val="24"/>
          <w:lang w:eastAsia="it-IT"/>
        </w:rPr>
        <w:t>Il passato è importante, la storia è un evoluzione graduale, un albero che cresce solido su radici ben piantate. Il cambiamento dev’essere un’evoluzione non eterodiretta; è selezione e adattamento.</w:t>
      </w:r>
    </w:p>
    <w:p w14:paraId="27120035" w14:textId="77777777" w:rsidR="004445D0" w:rsidRPr="004445D0" w:rsidRDefault="004445D0" w:rsidP="004445D0">
      <w:pPr>
        <w:rPr>
          <w:rFonts w:eastAsia="Times New Roman" w:cs="Times New Roman"/>
          <w:szCs w:val="24"/>
          <w:lang w:eastAsia="it-IT"/>
        </w:rPr>
      </w:pPr>
      <w:r w:rsidRPr="004445D0">
        <w:rPr>
          <w:rFonts w:eastAsia="Times New Roman" w:cs="Times New Roman"/>
          <w:szCs w:val="24"/>
          <w:lang w:eastAsia="it-IT"/>
        </w:rPr>
        <w:t>Il realismo è sul piano sociale e politico, ma anche filosofico: la realtà esiste ed è conoscibile e ha delle irriducibilità. Le differenze tra gli esseri umani sono un fatto, l’uguaglianza intesa come obiettivo di una manipolabilità infinita della natura umana va respinta.</w:t>
      </w:r>
    </w:p>
    <w:p w14:paraId="789EBB5B" w14:textId="77777777" w:rsidR="004445D0" w:rsidRPr="004445D0" w:rsidRDefault="004445D0" w:rsidP="004445D0">
      <w:pPr>
        <w:rPr>
          <w:rFonts w:eastAsia="Times New Roman" w:cs="Times New Roman"/>
          <w:szCs w:val="24"/>
          <w:lang w:eastAsia="it-IT"/>
        </w:rPr>
      </w:pPr>
      <w:r w:rsidRPr="004445D0">
        <w:rPr>
          <w:rFonts w:eastAsia="Times New Roman" w:cs="Times New Roman"/>
          <w:szCs w:val="24"/>
          <w:lang w:eastAsia="it-IT"/>
        </w:rPr>
        <w:t>Un effetto dell’assunzione di elementi identitari è la centralità dell’interesse nazionale; i confini sono leciti e non vi è un diritto a immigrare senza limiti; anticosmopolitismo.</w:t>
      </w:r>
    </w:p>
    <w:p w14:paraId="7C86848C" w14:textId="77777777" w:rsidR="004445D0" w:rsidRPr="004445D0" w:rsidRDefault="004445D0" w:rsidP="004445D0">
      <w:pPr>
        <w:rPr>
          <w:rFonts w:eastAsia="Times New Roman" w:cs="Times New Roman"/>
          <w:szCs w:val="24"/>
          <w:lang w:eastAsia="it-IT"/>
        </w:rPr>
      </w:pPr>
      <w:r w:rsidRPr="004445D0">
        <w:rPr>
          <w:rFonts w:eastAsia="Times New Roman" w:cs="Times New Roman"/>
          <w:szCs w:val="24"/>
          <w:lang w:eastAsia="it-IT"/>
        </w:rPr>
        <w:t xml:space="preserve">Contro i processi rivoluzionari, i miti palingenetici, il giacobinismo, il perfettismo. Visione disincantata della natura umana, il legno storto dell’umanità non è raddrizzabile a comando. </w:t>
      </w:r>
    </w:p>
    <w:p w14:paraId="4F97DDAD" w14:textId="77777777" w:rsidR="004445D0" w:rsidRPr="004445D0" w:rsidRDefault="004445D0" w:rsidP="004445D0">
      <w:pPr>
        <w:rPr>
          <w:rFonts w:eastAsia="Times New Roman" w:cs="Times New Roman"/>
          <w:szCs w:val="24"/>
          <w:lang w:eastAsia="it-IT"/>
        </w:rPr>
      </w:pPr>
      <w:r w:rsidRPr="004445D0">
        <w:rPr>
          <w:rFonts w:eastAsia="Times New Roman" w:cs="Times New Roman"/>
          <w:szCs w:val="24"/>
          <w:lang w:eastAsia="it-IT"/>
        </w:rPr>
        <w:t xml:space="preserve">Opposizione al pensiero </w:t>
      </w:r>
      <w:r w:rsidRPr="004445D0">
        <w:rPr>
          <w:rFonts w:eastAsia="Times New Roman" w:cs="Times New Roman"/>
          <w:i/>
          <w:iCs/>
          <w:szCs w:val="24"/>
          <w:lang w:eastAsia="it-IT"/>
        </w:rPr>
        <w:t>liberal</w:t>
      </w:r>
      <w:r w:rsidRPr="004445D0">
        <w:rPr>
          <w:rFonts w:eastAsia="Times New Roman" w:cs="Times New Roman"/>
          <w:szCs w:val="24"/>
          <w:lang w:eastAsia="it-IT"/>
        </w:rPr>
        <w:t xml:space="preserve"> e </w:t>
      </w:r>
      <w:r w:rsidRPr="004445D0">
        <w:rPr>
          <w:rFonts w:eastAsia="Times New Roman" w:cs="Times New Roman"/>
          <w:i/>
          <w:iCs/>
          <w:szCs w:val="24"/>
          <w:lang w:eastAsia="it-IT"/>
        </w:rPr>
        <w:t>radical</w:t>
      </w:r>
      <w:r w:rsidRPr="004445D0">
        <w:rPr>
          <w:rFonts w:eastAsia="Times New Roman" w:cs="Times New Roman"/>
          <w:szCs w:val="24"/>
          <w:lang w:eastAsia="it-IT"/>
        </w:rPr>
        <w:t xml:space="preserve">, al relativismo, alla correttezza politica che pone al margine o soffoca il pensiero non </w:t>
      </w:r>
      <w:r w:rsidRPr="004445D0">
        <w:rPr>
          <w:rFonts w:eastAsia="Times New Roman" w:cs="Times New Roman"/>
          <w:i/>
          <w:iCs/>
          <w:szCs w:val="24"/>
          <w:lang w:eastAsia="it-IT"/>
        </w:rPr>
        <w:t>mainstream</w:t>
      </w:r>
      <w:r w:rsidRPr="004445D0">
        <w:rPr>
          <w:rFonts w:eastAsia="Times New Roman" w:cs="Times New Roman"/>
          <w:szCs w:val="24"/>
          <w:lang w:eastAsia="it-IT"/>
        </w:rPr>
        <w:t xml:space="preserve">. Contro la </w:t>
      </w:r>
      <w:proofErr w:type="spellStart"/>
      <w:r w:rsidRPr="004445D0">
        <w:rPr>
          <w:rFonts w:eastAsia="Times New Roman" w:cs="Times New Roman"/>
          <w:i/>
          <w:iCs/>
          <w:szCs w:val="24"/>
          <w:lang w:eastAsia="it-IT"/>
        </w:rPr>
        <w:t>cancel</w:t>
      </w:r>
      <w:proofErr w:type="spellEnd"/>
      <w:r w:rsidRPr="004445D0">
        <w:rPr>
          <w:rFonts w:eastAsia="Times New Roman" w:cs="Times New Roman"/>
          <w:i/>
          <w:iCs/>
          <w:szCs w:val="24"/>
          <w:lang w:eastAsia="it-IT"/>
        </w:rPr>
        <w:t xml:space="preserve"> culture</w:t>
      </w:r>
      <w:r w:rsidRPr="004445D0">
        <w:rPr>
          <w:rFonts w:eastAsia="Times New Roman" w:cs="Times New Roman"/>
          <w:szCs w:val="24"/>
          <w:lang w:eastAsia="it-IT"/>
        </w:rPr>
        <w:t>, rivendicazione del ruolo dell’Occidente. Non è vero che tutte le opinioni sono equivalenti; nessuna deve essere tacitata con la forza ma non ci deve essere un obbligo di “rispetto” per tutte le idee e si deve poter affermare che alcune idee o opinioni sono superiori, più “vere”.</w:t>
      </w:r>
    </w:p>
    <w:p w14:paraId="10202891" w14:textId="77777777" w:rsidR="004445D0" w:rsidRPr="004445D0" w:rsidRDefault="004445D0" w:rsidP="004445D0">
      <w:pPr>
        <w:rPr>
          <w:rFonts w:eastAsia="Times New Roman" w:cs="Times New Roman"/>
          <w:szCs w:val="24"/>
          <w:lang w:eastAsia="it-IT"/>
        </w:rPr>
      </w:pPr>
      <w:r w:rsidRPr="004445D0">
        <w:rPr>
          <w:rFonts w:eastAsia="Times New Roman" w:cs="Times New Roman"/>
          <w:szCs w:val="24"/>
          <w:lang w:eastAsia="it-IT"/>
        </w:rPr>
        <w:t xml:space="preserve">A differenza del vecchio conservatorismo, per questa prospettiva lo Stato e la politica non sono più strumenti per moderare e dirigere le aspettative sociali. </w:t>
      </w:r>
    </w:p>
    <w:p w14:paraId="3CC0F9AC" w14:textId="77777777" w:rsidR="004445D0" w:rsidRPr="004445D0" w:rsidRDefault="004445D0" w:rsidP="004445D0">
      <w:pPr>
        <w:rPr>
          <w:rFonts w:eastAsia="Times New Roman" w:cs="Times New Roman"/>
          <w:szCs w:val="24"/>
          <w:lang w:eastAsia="it-IT"/>
        </w:rPr>
      </w:pPr>
    </w:p>
    <w:p w14:paraId="523721C3" w14:textId="77777777" w:rsidR="004445D0" w:rsidRPr="004445D0" w:rsidRDefault="004445D0" w:rsidP="00E53EFF">
      <w:pPr>
        <w:jc w:val="center"/>
        <w:rPr>
          <w:rFonts w:eastAsia="Times New Roman" w:cs="Times New Roman"/>
          <w:szCs w:val="24"/>
          <w:lang w:eastAsia="it-IT"/>
        </w:rPr>
      </w:pPr>
      <w:r w:rsidRPr="004445D0">
        <w:rPr>
          <w:rFonts w:eastAsia="Times New Roman" w:cs="Times New Roman"/>
          <w:szCs w:val="24"/>
          <w:lang w:eastAsia="it-IT"/>
        </w:rPr>
        <w:t>Bibliografia</w:t>
      </w:r>
    </w:p>
    <w:p w14:paraId="28170D5C" w14:textId="77777777" w:rsidR="004445D0" w:rsidRPr="004445D0" w:rsidRDefault="004445D0" w:rsidP="004445D0">
      <w:pPr>
        <w:rPr>
          <w:rFonts w:eastAsia="Times New Roman" w:cs="Times New Roman"/>
          <w:szCs w:val="24"/>
          <w:lang w:eastAsia="it-IT"/>
        </w:rPr>
      </w:pPr>
      <w:r w:rsidRPr="004445D0">
        <w:rPr>
          <w:rFonts w:eastAsia="Times New Roman" w:cs="Times New Roman"/>
          <w:szCs w:val="24"/>
          <w:lang w:eastAsia="it-IT"/>
        </w:rPr>
        <w:t xml:space="preserve">G. Valditara (a cura di), </w:t>
      </w:r>
      <w:r w:rsidRPr="004445D0">
        <w:rPr>
          <w:rFonts w:eastAsia="Times New Roman" w:cs="Times New Roman"/>
          <w:i/>
          <w:iCs/>
          <w:szCs w:val="24"/>
          <w:lang w:eastAsia="it-IT"/>
        </w:rPr>
        <w:t>La sfida dei liberalconservatori</w:t>
      </w:r>
      <w:r w:rsidRPr="004445D0">
        <w:rPr>
          <w:rFonts w:eastAsia="Times New Roman" w:cs="Times New Roman"/>
          <w:szCs w:val="24"/>
          <w:lang w:eastAsia="it-IT"/>
        </w:rPr>
        <w:t>, la Bussola, Roma, 2022.</w:t>
      </w:r>
    </w:p>
    <w:p w14:paraId="17683BE5" w14:textId="77777777" w:rsidR="004445D0" w:rsidRPr="004445D0" w:rsidRDefault="004445D0" w:rsidP="004445D0">
      <w:pPr>
        <w:ind w:firstLine="0"/>
        <w:rPr>
          <w:rFonts w:eastAsia="Times New Roman" w:cs="Times New Roman"/>
          <w:sz w:val="26"/>
          <w:szCs w:val="20"/>
          <w:lang w:eastAsia="it-IT"/>
        </w:rPr>
      </w:pPr>
    </w:p>
    <w:p w14:paraId="2F354A5D" w14:textId="77777777" w:rsidR="000B101F" w:rsidRDefault="000B101F"/>
    <w:sectPr w:rsidR="000B101F" w:rsidSect="00E53EFF">
      <w:headerReference w:type="default" r:id="rId4"/>
      <w:pgSz w:w="11907" w:h="16840"/>
      <w:pgMar w:top="1417" w:right="1134" w:bottom="113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7FE2" w14:textId="77777777" w:rsidR="008C29C8" w:rsidRDefault="00E53EFF">
    <w:pPr>
      <w:pStyle w:val="Intestazio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10CC3B6" w14:textId="77777777" w:rsidR="008C29C8" w:rsidRDefault="00E53E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D0"/>
    <w:rsid w:val="000B101F"/>
    <w:rsid w:val="004445D0"/>
    <w:rsid w:val="00E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B7EF"/>
  <w15:chartTrackingRefBased/>
  <w15:docId w15:val="{406B4733-85BB-4757-BB71-57D5ECC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45D0"/>
    <w:pPr>
      <w:tabs>
        <w:tab w:val="center" w:pos="4819"/>
        <w:tab w:val="right" w:pos="9638"/>
      </w:tabs>
      <w:ind w:firstLine="0"/>
      <w:jc w:val="left"/>
    </w:pPr>
    <w:rPr>
      <w:rFonts w:eastAsia="Times New Roman" w:cs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5D0"/>
    <w:rPr>
      <w:rFonts w:eastAsia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Vernaglione</dc:creator>
  <cp:keywords/>
  <dc:description/>
  <cp:lastModifiedBy>Piero Vernaglione</cp:lastModifiedBy>
  <cp:revision>1</cp:revision>
  <dcterms:created xsi:type="dcterms:W3CDTF">2022-03-26T17:52:00Z</dcterms:created>
  <dcterms:modified xsi:type="dcterms:W3CDTF">2022-03-26T18:03:00Z</dcterms:modified>
</cp:coreProperties>
</file>