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AF776" w14:textId="264798E9" w:rsidR="000B101F" w:rsidRDefault="000D75CB" w:rsidP="00BE44E8">
      <w:pPr>
        <w:ind w:firstLine="0"/>
        <w:jc w:val="center"/>
      </w:pPr>
      <w:r>
        <w:t>E</w:t>
      </w:r>
      <w:r w:rsidR="00421FDD">
        <w:t>CONOMIA SPERIMENTALE</w:t>
      </w:r>
    </w:p>
    <w:p w14:paraId="1C6A7695" w14:textId="3B53F9E9" w:rsidR="00BE44E8" w:rsidRDefault="00BE44E8" w:rsidP="00BE44E8">
      <w:pPr>
        <w:ind w:firstLine="0"/>
      </w:pPr>
    </w:p>
    <w:p w14:paraId="792BF844" w14:textId="77777777" w:rsidR="00BE44E8" w:rsidRDefault="00BE44E8" w:rsidP="00BE44E8">
      <w:pPr>
        <w:ind w:firstLine="0"/>
      </w:pPr>
      <w:r w:rsidRPr="00BE44E8">
        <w:t xml:space="preserve">A partire dalla fine degli anni Ottanta del Novecento l’economia sperimentale ha progressivamente acquisito una posizione di rilievo all’interno della ricerca, fino alla piena legittimazione a seguito del premio Nobel per l’economia assegnato nel 2002 a Daniel </w:t>
      </w:r>
      <w:proofErr w:type="spellStart"/>
      <w:r w:rsidRPr="00BE44E8">
        <w:t>Kahneman</w:t>
      </w:r>
      <w:proofErr w:type="spellEnd"/>
      <w:r w:rsidRPr="00BE44E8">
        <w:t xml:space="preserve"> e Vernon L. Smith. Altri esponenti di tale branca dell’economia sono Charles </w:t>
      </w:r>
      <w:proofErr w:type="spellStart"/>
      <w:r w:rsidRPr="00BE44E8">
        <w:t>Plott</w:t>
      </w:r>
      <w:proofErr w:type="spellEnd"/>
      <w:r w:rsidRPr="00BE44E8">
        <w:t xml:space="preserve">, Charles Holt, J. </w:t>
      </w:r>
      <w:proofErr w:type="spellStart"/>
      <w:r w:rsidRPr="00BE44E8">
        <w:t>Kagel</w:t>
      </w:r>
      <w:proofErr w:type="spellEnd"/>
      <w:r w:rsidRPr="00BE44E8">
        <w:t xml:space="preserve">, Alvin Roth. </w:t>
      </w:r>
    </w:p>
    <w:p w14:paraId="701245D8" w14:textId="5E58AE00" w:rsidR="00D0543F" w:rsidRPr="00BE44E8" w:rsidRDefault="00D0543F" w:rsidP="00D0543F">
      <w:r>
        <w:t xml:space="preserve">I settori nei quali </w:t>
      </w:r>
      <w:r w:rsidR="00EF65B9">
        <w:t>l’economia sperimentale</w:t>
      </w:r>
      <w:r>
        <w:t xml:space="preserve"> è stata più applicata sono la teoria delle scelte, il funzionamento dei mercati e le interazioni strategiche</w:t>
      </w:r>
      <w:r w:rsidR="000B18B2">
        <w:t xml:space="preserve"> (la microeconomia rappresenta il campo di applicazione privilegiato).</w:t>
      </w:r>
    </w:p>
    <w:p w14:paraId="1761AA4E" w14:textId="1AFCED2E" w:rsidR="00D238B5" w:rsidRDefault="000102B7" w:rsidP="00D238B5">
      <w:r>
        <w:t xml:space="preserve">L’economia sperimentale fondamentalmente è un </w:t>
      </w:r>
      <w:r w:rsidRPr="000102B7">
        <w:rPr>
          <w:i/>
          <w:iCs/>
        </w:rPr>
        <w:t>metodo</w:t>
      </w:r>
      <w:r>
        <w:t xml:space="preserve">. </w:t>
      </w:r>
      <w:r w:rsidR="00BE44E8" w:rsidRPr="00BE44E8">
        <w:t>Gli esperimenti economici sono costituiti dalla creazione di ambienti controllati al fine di riprodurre artificialmente una situazione che rispetti le condizioni ipotizzate dalla teoria.</w:t>
      </w:r>
      <w:r>
        <w:t xml:space="preserve"> </w:t>
      </w:r>
      <w:r w:rsidR="00D238B5">
        <w:t xml:space="preserve">Si simula il contesto “asettico” del laboratorio. </w:t>
      </w:r>
      <w:r w:rsidR="00E53CDC">
        <w:t>È nel controllo la specificità del metodo sperimentale rispetto ad altri metodi di analisi empirica usati in economia</w:t>
      </w:r>
      <w:r w:rsidR="00927C4F">
        <w:t>; il controllo dell’ambiente assicura che lo studio possa essere replicato, condizione fondamentale di ogni indagine scientifica</w:t>
      </w:r>
      <w:r w:rsidR="00927C4F">
        <w:rPr>
          <w:rStyle w:val="Rimandonotaapidipagina"/>
        </w:rPr>
        <w:footnoteReference w:id="1"/>
      </w:r>
      <w:r w:rsidR="00927C4F">
        <w:t>.</w:t>
      </w:r>
    </w:p>
    <w:p w14:paraId="1926C3BC" w14:textId="77777777" w:rsidR="004E09F7" w:rsidRDefault="000102B7" w:rsidP="00BE44E8">
      <w:r>
        <w:t xml:space="preserve">I partecipanti vengono isolati gli uni dagli altri e interagiscono esclusivamente attraverso la rete informatica. Le postazioni </w:t>
      </w:r>
      <w:r w:rsidR="00844B93">
        <w:t>di computer</w:t>
      </w:r>
      <w:r>
        <w:t xml:space="preserve"> </w:t>
      </w:r>
      <w:r w:rsidR="00D0543F">
        <w:t xml:space="preserve">in genere </w:t>
      </w:r>
      <w:r>
        <w:t>va</w:t>
      </w:r>
      <w:r w:rsidR="004E09F7">
        <w:t>riano</w:t>
      </w:r>
      <w:r>
        <w:t xml:space="preserve"> </w:t>
      </w:r>
      <w:r w:rsidR="004E09F7">
        <w:t>tra</w:t>
      </w:r>
      <w:r>
        <w:t xml:space="preserve"> 15 a 30.</w:t>
      </w:r>
      <w:r w:rsidR="00844B93">
        <w:t xml:space="preserve"> </w:t>
      </w:r>
      <w:r w:rsidR="004E09F7">
        <w:t>Maggiore è il numero dei soggetti, più significativi sono i risultati (ma l’esperimento diventa più costoso).</w:t>
      </w:r>
    </w:p>
    <w:p w14:paraId="64895B57" w14:textId="66AE3F2F" w:rsidR="004E09F7" w:rsidRDefault="00844B93" w:rsidP="00BE44E8">
      <w:r>
        <w:t>Solitamente lo stesso gioco viene ripetuto più volte, in modo tale che i partecipanti possano modificare le loro scelte in base alle esperienze fatte.</w:t>
      </w:r>
      <w:r w:rsidR="00D238B5">
        <w:t xml:space="preserve"> </w:t>
      </w:r>
    </w:p>
    <w:p w14:paraId="45BAED27" w14:textId="4A3C295B" w:rsidR="00D70D93" w:rsidRDefault="00D70D93" w:rsidP="00BE44E8">
      <w:r>
        <w:t>Tendenzialmente si garantisce l’anonimato (a meno che lo scopo non sia testare gli effetti della reputazione).</w:t>
      </w:r>
    </w:p>
    <w:p w14:paraId="69C85CEF" w14:textId="635C42A6" w:rsidR="00BE44E8" w:rsidRDefault="00D238B5" w:rsidP="00BE44E8">
      <w:r>
        <w:t xml:space="preserve">Al termine il partecipante riceve il pagamento corrispondente a quanto </w:t>
      </w:r>
      <w:r w:rsidR="008B2991">
        <w:t xml:space="preserve">eventualmente </w:t>
      </w:r>
      <w:r>
        <w:t>guadagnato nel corso dell’esperimento</w:t>
      </w:r>
      <w:r w:rsidR="00253BAA">
        <w:t xml:space="preserve"> (oppure si estraggono a sorte alcuni soggetti </w:t>
      </w:r>
      <w:r w:rsidR="00253BAA" w:rsidRPr="00253BAA">
        <w:rPr>
          <w:i/>
          <w:iCs/>
        </w:rPr>
        <w:t>ex post</w:t>
      </w:r>
      <w:r w:rsidR="00253BAA">
        <w:t>)</w:t>
      </w:r>
      <w:r>
        <w:t>: altrimenti il comportamento sarebbe falsato dalla consapevolezza che non sia in gioco un guadagno</w:t>
      </w:r>
      <w:r w:rsidR="00253BAA">
        <w:rPr>
          <w:rStyle w:val="Rimandonotaapidipagina"/>
        </w:rPr>
        <w:footnoteReference w:id="2"/>
      </w:r>
      <w:r>
        <w:t xml:space="preserve"> reale</w:t>
      </w:r>
      <w:r w:rsidR="00C72673">
        <w:t>, cioè mancherebbero gli incentivi</w:t>
      </w:r>
      <w:r>
        <w:t>.</w:t>
      </w:r>
    </w:p>
    <w:p w14:paraId="2736DA10" w14:textId="7BCC91C7" w:rsidR="004E09F7" w:rsidRDefault="004E09F7" w:rsidP="00BE44E8">
      <w:r>
        <w:t>Alla fine si raccolgono i dati, che lo sperimentatore analizza attraverso strumenti statistici ed econometrici standard.</w:t>
      </w:r>
    </w:p>
    <w:p w14:paraId="35FCADA1" w14:textId="29E8893D" w:rsidR="00642F17" w:rsidRDefault="00642F17" w:rsidP="00BE44E8">
      <w:r>
        <w:t xml:space="preserve">Tale metodo </w:t>
      </w:r>
      <w:r w:rsidRPr="00312CE7">
        <w:rPr>
          <w:i/>
          <w:iCs/>
        </w:rPr>
        <w:t>si ag</w:t>
      </w:r>
      <w:r w:rsidR="00312CE7" w:rsidRPr="00312CE7">
        <w:rPr>
          <w:i/>
          <w:iCs/>
        </w:rPr>
        <w:t>g</w:t>
      </w:r>
      <w:r w:rsidRPr="00312CE7">
        <w:rPr>
          <w:i/>
          <w:iCs/>
        </w:rPr>
        <w:t>iunge</w:t>
      </w:r>
      <w:r>
        <w:t xml:space="preserve"> agli altri metodi</w:t>
      </w:r>
      <w:r w:rsidR="00312CE7">
        <w:t xml:space="preserve"> utilizzati dall’economia, come l’analisi statistica dei dati, i sondaggi e gli studi sul campo, che hanno il problema di osservare i fatti in un ambiente non controllato</w:t>
      </w:r>
      <w:r w:rsidR="00D238B5">
        <w:t>:</w:t>
      </w:r>
      <w:r w:rsidR="00D238B5" w:rsidRPr="00D238B5">
        <w:t xml:space="preserve"> </w:t>
      </w:r>
      <w:r w:rsidR="00D238B5">
        <w:t xml:space="preserve">l’osservazione dei fatti nel loro ambiente naturale, concreto, non permette di isolare con precisione i molteplici fattori che li hanno causati; inoltre alcune situazioni sono difficili da osservare nella realtà, ad esempio perché sono rare o perché necessitano di una combinazione di fattori </w:t>
      </w:r>
      <w:r w:rsidR="00D238B5" w:rsidRPr="00844B93">
        <w:rPr>
          <w:i/>
          <w:iCs/>
        </w:rPr>
        <w:t>ad hoc</w:t>
      </w:r>
      <w:r w:rsidR="00D238B5">
        <w:t>.</w:t>
      </w:r>
    </w:p>
    <w:p w14:paraId="297510D9" w14:textId="14D2F26E" w:rsidR="00312CE7" w:rsidRDefault="00312CE7" w:rsidP="00BE44E8">
      <w:r>
        <w:t>Gli obiettivi dell’economia sperimentale sono</w:t>
      </w:r>
      <w:r w:rsidR="00D0543F">
        <w:t xml:space="preserve"> sostanzialmente tre</w:t>
      </w:r>
      <w:r>
        <w:t>: testare le predizioni formulate dalle teorie esistenti; individuare nuove teorie quando in alcuni settori sono assenti o incomplete;</w:t>
      </w:r>
      <w:r w:rsidR="00D0543F">
        <w:t xml:space="preserve"> consentire al decisore pubblico di testare l’efficacia di differenti politiche e al decisore privato di simulare strategie di mercato o organizzative.</w:t>
      </w:r>
    </w:p>
    <w:p w14:paraId="7BAB1098" w14:textId="525187DF" w:rsidR="008B2991" w:rsidRDefault="008B2991" w:rsidP="00BE44E8">
      <w:r>
        <w:t xml:space="preserve">Nel primo caso, ad esempio, </w:t>
      </w:r>
      <w:bookmarkStart w:id="1" w:name="_Hlk58350358"/>
      <w:r>
        <w:t xml:space="preserve">si può testare l’ipotesi del </w:t>
      </w:r>
      <w:r w:rsidRPr="008B2991">
        <w:rPr>
          <w:i/>
          <w:iCs/>
        </w:rPr>
        <w:t>free riding</w:t>
      </w:r>
      <w:r>
        <w:t xml:space="preserve"> nella teoria dei beni pubblici</w:t>
      </w:r>
      <w:r w:rsidR="007F4E3D">
        <w:t>.</w:t>
      </w:r>
      <w:r w:rsidR="007F4E3D" w:rsidRPr="007F4E3D">
        <w:t xml:space="preserve"> </w:t>
      </w:r>
      <w:r w:rsidR="007F4E3D">
        <w:t xml:space="preserve">L’esperimento promosso da John </w:t>
      </w:r>
      <w:proofErr w:type="spellStart"/>
      <w:r w:rsidR="007F4E3D">
        <w:t>Ledyard</w:t>
      </w:r>
      <w:proofErr w:type="spellEnd"/>
      <w:r w:rsidR="007F4E3D">
        <w:t xml:space="preserve"> ha evidenziato come la predizione teorica di contribuzione </w:t>
      </w:r>
      <w:r w:rsidR="007F4E3D">
        <w:lastRenderedPageBreak/>
        <w:t>pari a zero sia erronea: i soggetti depositano nel fondo comune tra il 40% e il 60% della loro dotazione iniziale</w:t>
      </w:r>
      <w:r>
        <w:rPr>
          <w:rStyle w:val="Rimandonotaapidipagina"/>
        </w:rPr>
        <w:footnoteReference w:id="3"/>
      </w:r>
      <w:r>
        <w:t>.</w:t>
      </w:r>
    </w:p>
    <w:bookmarkEnd w:id="1"/>
    <w:p w14:paraId="1CD66415" w14:textId="6CE70F0A" w:rsidR="007F4E3D" w:rsidRDefault="007F4E3D" w:rsidP="00BE44E8">
      <w:r>
        <w:t>Circa il secondo obiettivo,</w:t>
      </w:r>
      <w:r w:rsidR="00EE3742">
        <w:t xml:space="preserve"> l’eventuale nuova teoria è individuata attraverso il procedimento </w:t>
      </w:r>
      <w:r w:rsidR="00EE3742" w:rsidRPr="00EE3742">
        <w:rPr>
          <w:i/>
          <w:iCs/>
        </w:rPr>
        <w:t>induttivo</w:t>
      </w:r>
      <w:r w:rsidR="00EE3742">
        <w:t xml:space="preserve"> utilizzato in psicologia (si formulano ipotesi a partire dalle osservazioni sperimentali) e non il procedimento ipotetico-deduttivo classico. Nell’esempio del gioco del bene pubblico, la sperimentazione permette di studiare variabili ignorate dalla teoria classica, come le caratteristiche sociodemografiche o le variabili culturali</w:t>
      </w:r>
      <w:r w:rsidR="006759DB">
        <w:t>, o variabili che, sempre secondo quella teoria, non dovrebbero produrre effetti (la comunicazione, la numerosità dei gruppi) e che invece incidono.</w:t>
      </w:r>
    </w:p>
    <w:p w14:paraId="7738F6A7" w14:textId="2585000E" w:rsidR="00305066" w:rsidRDefault="00305066" w:rsidP="00BE44E8">
      <w:r>
        <w:t xml:space="preserve">Per quanto riguarda il terzo obiettivo, </w:t>
      </w:r>
      <w:r w:rsidR="00C4534B">
        <w:t xml:space="preserve">la procedura di vendita all’asta delle frequenze radio negli Stati Uniti è stata implementata con l’aiuto dell’economia sperimentale; e i centri di ricerca dell’IBM o della </w:t>
      </w:r>
      <w:proofErr w:type="spellStart"/>
      <w:r w:rsidR="00C4534B">
        <w:t>Hewlitt</w:t>
      </w:r>
      <w:proofErr w:type="spellEnd"/>
      <w:r w:rsidR="00C4534B">
        <w:t>-Packard l’hanno utilizzata per studiare la formazione dei prezzi, l’apprendimento strategico, le procedure di negoziazione e le dinamiche dell’informazione all’interno dei mercati.</w:t>
      </w:r>
    </w:p>
    <w:p w14:paraId="7A5FD3FA" w14:textId="4954152E" w:rsidR="0042220B" w:rsidRDefault="0042220B" w:rsidP="00BE44E8"/>
    <w:p w14:paraId="39BD6D30" w14:textId="0E7C109D" w:rsidR="0042220B" w:rsidRDefault="0042220B" w:rsidP="00BE44E8">
      <w:r>
        <w:t>I soggetti</w:t>
      </w:r>
    </w:p>
    <w:p w14:paraId="48962257" w14:textId="2D70936B" w:rsidR="0042220B" w:rsidRDefault="0042220B" w:rsidP="00BE44E8">
      <w:r>
        <w:t>Gli agenti reali spesso sono molto più complessi rispetto agli individui che partecipano agli esperimenti: ad esempio, alcune scelte sono compiute da organizzazioni, imprese, associazioni, non da singoli individui.</w:t>
      </w:r>
    </w:p>
    <w:p w14:paraId="52D42EE3" w14:textId="31178B17" w:rsidR="009070C3" w:rsidRDefault="009070C3" w:rsidP="00BE44E8"/>
    <w:p w14:paraId="6F3FB5EA" w14:textId="500F71BC" w:rsidR="009070C3" w:rsidRDefault="009070C3" w:rsidP="00BE44E8">
      <w:r>
        <w:t>Contestualizzazione o decontestualizzazione</w:t>
      </w:r>
    </w:p>
    <w:p w14:paraId="7B8B2BB6" w14:textId="010B5CBB" w:rsidR="009070C3" w:rsidRDefault="009070C3" w:rsidP="00BE44E8">
      <w:r>
        <w:t>Il contesto incide. Ad esempio, nel gioco del bene pubblico, esplicitare per quale bene</w:t>
      </w:r>
      <w:r w:rsidR="00C72673">
        <w:t xml:space="preserve"> è creato il fondo comune (es. progetto ambientale) significa contestualizzare. Invece mantenere neutro il fondo è una tecnica di decontestualizzazione. Gli economisti, al contrario degli psicologi, tendono a decontestualizzare il più possibile.</w:t>
      </w:r>
    </w:p>
    <w:p w14:paraId="2BF12F27" w14:textId="5EAAAE01" w:rsidR="00D70D93" w:rsidRDefault="00D70D93" w:rsidP="00BE44E8"/>
    <w:p w14:paraId="54E2429A" w14:textId="670B86B2" w:rsidR="00D70D93" w:rsidRDefault="00D70D93" w:rsidP="00BE44E8">
      <w:r>
        <w:t>Il problema forse più dibattuto è la validità esterna dei risultati, cioè se i comportamenti osservati in laboratorio</w:t>
      </w:r>
      <w:r w:rsidR="002A2564">
        <w:t xml:space="preserve"> riflettono significativamente i comportamenti reali (</w:t>
      </w:r>
      <w:r w:rsidR="002A2564" w:rsidRPr="002A2564">
        <w:rPr>
          <w:i/>
          <w:iCs/>
        </w:rPr>
        <w:t>parallelismo</w:t>
      </w:r>
      <w:r w:rsidR="002A2564">
        <w:t>).</w:t>
      </w:r>
    </w:p>
    <w:p w14:paraId="403B46B6" w14:textId="3D148B1C" w:rsidR="00625D1A" w:rsidRDefault="00625D1A" w:rsidP="00BE44E8"/>
    <w:p w14:paraId="58298697" w14:textId="43411447" w:rsidR="00625D1A" w:rsidRDefault="00625D1A" w:rsidP="00625D1A">
      <w:pPr>
        <w:jc w:val="center"/>
      </w:pPr>
      <w:r>
        <w:t>Applicazioni</w:t>
      </w:r>
    </w:p>
    <w:p w14:paraId="32B3B4D2" w14:textId="332CABA4" w:rsidR="00625D1A" w:rsidRDefault="00625D1A" w:rsidP="00625D1A"/>
    <w:p w14:paraId="53C173C4" w14:textId="7E2EDE51" w:rsidR="00625D1A" w:rsidRDefault="00625D1A" w:rsidP="00625D1A">
      <w:r>
        <w:t>Effetto di dotazione</w:t>
      </w:r>
    </w:p>
    <w:p w14:paraId="6713CEA5" w14:textId="43A6BA87" w:rsidR="00625D1A" w:rsidRDefault="00625D1A" w:rsidP="00625D1A">
      <w:r>
        <w:t xml:space="preserve">Esperimenti svolti da </w:t>
      </w:r>
      <w:proofErr w:type="spellStart"/>
      <w:r>
        <w:t>Kahneman</w:t>
      </w:r>
      <w:proofErr w:type="spellEnd"/>
      <w:r>
        <w:t xml:space="preserve">, </w:t>
      </w:r>
      <w:proofErr w:type="spellStart"/>
      <w:r>
        <w:t>Knetsch</w:t>
      </w:r>
      <w:proofErr w:type="spellEnd"/>
      <w:r>
        <w:t xml:space="preserve"> e Thaler</w:t>
      </w:r>
      <w:r w:rsidR="007402D5">
        <w:rPr>
          <w:rStyle w:val="Rimandonotaapidipagina"/>
        </w:rPr>
        <w:footnoteReference w:id="4"/>
      </w:r>
      <w:r>
        <w:t xml:space="preserve"> (1990) dimostrano che le persone</w:t>
      </w:r>
      <w:r w:rsidR="005303CA">
        <w:t xml:space="preserve"> valutano di più un oggetto se è in loro possesso e devono cederlo rispetto alla valutazione dello stesso oggetto nel caso in cui debbano acquistarlo</w:t>
      </w:r>
      <w:r w:rsidR="003759F8">
        <w:t>; in altri termini</w:t>
      </w:r>
      <w:r w:rsidR="005303CA">
        <w:t>, per cedere un oggetto, vogliono più denaro di quanto non siano disposte a pagare per acquistarlo; cioè la perdita di utilità derivante dalla separazione di un bene posseduto è superiore</w:t>
      </w:r>
      <w:r w:rsidR="003759F8">
        <w:t xml:space="preserve"> al guadagno di utilità percepito quando si riceve il bene. Ciò confuterebbe la teoria dell’utilità</w:t>
      </w:r>
      <w:r w:rsidR="000F4431">
        <w:t xml:space="preserve"> classica</w:t>
      </w:r>
      <w:r w:rsidR="003759F8">
        <w:t>, che afferma che l’utilità tratta da un dato oggetto deve essere la medesim</w:t>
      </w:r>
      <w:r w:rsidR="000F4431">
        <w:t>a</w:t>
      </w:r>
      <w:r w:rsidR="003759F8">
        <w:t xml:space="preserve"> per un singolo individuo</w:t>
      </w:r>
      <w:r w:rsidR="000F4431">
        <w:t>, indipendentemente dalla sua posizione di acquirente o venditore</w:t>
      </w:r>
      <w:r w:rsidR="003759F8">
        <w:t>.</w:t>
      </w:r>
    </w:p>
    <w:p w14:paraId="692AC659" w14:textId="290829DD" w:rsidR="00152DEB" w:rsidRDefault="00152DEB" w:rsidP="00625D1A"/>
    <w:p w14:paraId="393AD27C" w14:textId="405BAE0F" w:rsidR="00152DEB" w:rsidRDefault="00152DEB" w:rsidP="00625D1A">
      <w:r>
        <w:lastRenderedPageBreak/>
        <w:t>Scelte in presenza di rischio o incertezza</w:t>
      </w:r>
    </w:p>
    <w:p w14:paraId="1831530A" w14:textId="53D8EAAD" w:rsidR="00152DEB" w:rsidRDefault="00152DEB" w:rsidP="00625D1A">
      <w:r>
        <w:t>Rischio e incertezza sono concetti diversi: nelle situazioni di rischio le probabilità sono note agli agenti (es. il lancio della moneta, con relativa probabilità del 50%), nelle situazioni di incertezza no.</w:t>
      </w:r>
    </w:p>
    <w:p w14:paraId="43AFC3D1" w14:textId="714CF929" w:rsidR="00152DEB" w:rsidRDefault="00152DEB" w:rsidP="00625D1A">
      <w:r>
        <w:t xml:space="preserve">La teoria dominante è la </w:t>
      </w:r>
      <w:r w:rsidRPr="00484A51">
        <w:rPr>
          <w:i/>
          <w:iCs/>
        </w:rPr>
        <w:t>teoria dell’utilità attesa</w:t>
      </w:r>
      <w:r>
        <w:t xml:space="preserve"> di Von Neumann e Morgenstern (1944), applicata in molti ambiti: assicurazione, finanza, investimento. </w:t>
      </w:r>
      <w:r w:rsidR="00484A51">
        <w:t>Tuttavia gli studi sperimentali hanno evidenziato anomalie relative alle predizioni di questa teoria, in particolare</w:t>
      </w:r>
      <w:r w:rsidR="006D09E3">
        <w:t xml:space="preserve"> circa gli assiomi di indipendenza e di transitività</w:t>
      </w:r>
      <w:r w:rsidR="00484A51">
        <w:t>.</w:t>
      </w:r>
    </w:p>
    <w:p w14:paraId="21C8FDFF" w14:textId="2B76798A" w:rsidR="00FE3F3B" w:rsidRDefault="00DF3744" w:rsidP="00B00668">
      <w:proofErr w:type="spellStart"/>
      <w:r>
        <w:t>Kahneman</w:t>
      </w:r>
      <w:proofErr w:type="spellEnd"/>
      <w:r>
        <w:t xml:space="preserve"> e </w:t>
      </w:r>
      <w:proofErr w:type="spellStart"/>
      <w:r>
        <w:t>Tversky</w:t>
      </w:r>
      <w:proofErr w:type="spellEnd"/>
      <w:r>
        <w:t xml:space="preserve"> (1992) hanno proposto una teoria alternativa, la </w:t>
      </w:r>
      <w:proofErr w:type="spellStart"/>
      <w:r w:rsidRPr="00FE3F3B">
        <w:rPr>
          <w:i/>
          <w:iCs/>
        </w:rPr>
        <w:t>prospect</w:t>
      </w:r>
      <w:proofErr w:type="spellEnd"/>
      <w:r w:rsidRPr="00FE3F3B">
        <w:rPr>
          <w:i/>
          <w:iCs/>
        </w:rPr>
        <w:t xml:space="preserve"> theory</w:t>
      </w:r>
      <w:r w:rsidR="004B603B">
        <w:t xml:space="preserve">, diventata quella </w:t>
      </w:r>
      <w:r w:rsidR="00B00668">
        <w:t>di maggior successo come alternativa</w:t>
      </w:r>
      <w:r w:rsidR="004B603B">
        <w:t xml:space="preserve"> alla teoria dell’utilità neoclassica</w:t>
      </w:r>
      <w:r w:rsidR="00FE3F3B">
        <w:t xml:space="preserve">. </w:t>
      </w:r>
      <w:r w:rsidR="00B00668">
        <w:t>Questa teoria cambi</w:t>
      </w:r>
      <w:r w:rsidR="00B00668">
        <w:t>a</w:t>
      </w:r>
      <w:r w:rsidR="00B00668">
        <w:t xml:space="preserve"> il rapporto fra percezione del valore rispetto ai guadagni e alle perdite. Il rapporto non è una linea retta, ma una curva convessa e molto ripida per le perdite e concava e meno ripida per i guadagni. Cioè la percezione psicologica aumenta nella situazione di perdita e diminuisce in quella di guadagno. Se perdo 100 euro, per compensare il peso psicologico di questa perdita ho bisogno di ricevere il doppio. </w:t>
      </w:r>
      <w:r w:rsidR="00B00668">
        <w:t>Inoltre</w:t>
      </w:r>
      <w:r w:rsidR="00B00668">
        <w:t xml:space="preserve"> la teoria del prospetto dice che il valore economico non è assoluto, ma è sempre relativo a punti di riferimento. Se mi aspetto un bonus di 6 mila euro e ne ricevo 3 mila, lo considero una perdita. Se invece la</w:t>
      </w:r>
      <w:r w:rsidR="00B00668">
        <w:t xml:space="preserve"> </w:t>
      </w:r>
      <w:r w:rsidR="00B00668">
        <w:t>mia aspettativa era di duemila, lo considero un guadagno. Infine confuta la linearità del valore delle probabilità: quelle molto basse sono sopravvalutate; quelle medie sono sottovalutate; quelle molto alte sono sopravvalutate. Cioè 0,1% lo trattiamo come se fosse 1%; 40% come se fosse 30%; e 99% come se fosse 100%.</w:t>
      </w:r>
    </w:p>
    <w:p w14:paraId="30FF7E3A" w14:textId="19906D13" w:rsidR="00DF3744" w:rsidRDefault="00FE3F3B" w:rsidP="00625D1A">
      <w:r>
        <w:t xml:space="preserve">Tuttavia, quando i soggetti sono considerati all’interno delle interazioni, e non presi singolarmente, sono meno soggetti a irrazionalità. Dunque probabilmente il mercato o altri contesti collettivi (imprese) contribuiscono a effettuare correzioni dei </w:t>
      </w:r>
      <w:proofErr w:type="spellStart"/>
      <w:r w:rsidRPr="00FE3F3B">
        <w:rPr>
          <w:i/>
          <w:iCs/>
        </w:rPr>
        <w:t>bias</w:t>
      </w:r>
      <w:proofErr w:type="spellEnd"/>
      <w:r>
        <w:t>; per cui la teoria della massimizzazione dell’utilità continua a rappresentare una buona approssimazione dei comportamenti.</w:t>
      </w:r>
    </w:p>
    <w:p w14:paraId="095EC914" w14:textId="1454BC3D" w:rsidR="0067099F" w:rsidRDefault="0067099F" w:rsidP="00625D1A"/>
    <w:p w14:paraId="11C63DF0" w14:textId="180EA8B1" w:rsidR="0067099F" w:rsidRDefault="0067099F" w:rsidP="00625D1A">
      <w:proofErr w:type="spellStart"/>
      <w:r w:rsidRPr="0067099F">
        <w:rPr>
          <w:i/>
          <w:iCs/>
        </w:rPr>
        <w:t>Bias</w:t>
      </w:r>
      <w:proofErr w:type="spellEnd"/>
      <w:r>
        <w:t xml:space="preserve"> valutativi</w:t>
      </w:r>
    </w:p>
    <w:p w14:paraId="056A5E8E" w14:textId="290DBEB6" w:rsidR="0067099F" w:rsidRDefault="0067099F" w:rsidP="00625D1A">
      <w:r>
        <w:t>A livello macroeconomico un esempio è l’illusione monetaria, la confusione tra valori nominali e valori reali</w:t>
      </w:r>
      <w:r w:rsidR="009A500F">
        <w:t>. La teoria della neutralità della moneta è basata sull’assenza di illusione monetaria, ma l’economia sperimentale evidenzia che è presente (</w:t>
      </w:r>
      <w:proofErr w:type="spellStart"/>
      <w:r w:rsidR="00EA531D">
        <w:t>Fehr</w:t>
      </w:r>
      <w:proofErr w:type="spellEnd"/>
      <w:r w:rsidR="00EA531D">
        <w:t xml:space="preserve"> e </w:t>
      </w:r>
      <w:proofErr w:type="spellStart"/>
      <w:r w:rsidR="00EA531D">
        <w:t>Tyran</w:t>
      </w:r>
      <w:proofErr w:type="spellEnd"/>
      <w:r w:rsidR="00EA531D">
        <w:t>, 2001).</w:t>
      </w:r>
    </w:p>
    <w:p w14:paraId="0F5A189F" w14:textId="77777777" w:rsidR="004948C7" w:rsidRDefault="004948C7" w:rsidP="00625D1A"/>
    <w:p w14:paraId="7B7DDF47" w14:textId="26EBB383" w:rsidR="004948C7" w:rsidRDefault="004948C7" w:rsidP="00625D1A"/>
    <w:p w14:paraId="3B5260DD" w14:textId="07E31EBF" w:rsidR="004948C7" w:rsidRDefault="004948C7" w:rsidP="004948C7">
      <w:pPr>
        <w:spacing w:after="120"/>
        <w:jc w:val="center"/>
      </w:pPr>
      <w:r>
        <w:t>Funzionamento dei mercati</w:t>
      </w:r>
    </w:p>
    <w:p w14:paraId="2F1F411B" w14:textId="1A7CC9C5" w:rsidR="004948C7" w:rsidRDefault="004948C7" w:rsidP="004948C7">
      <w:r>
        <w:t>Concorrenza perfetta</w:t>
      </w:r>
    </w:p>
    <w:p w14:paraId="4055466F" w14:textId="6A5D0A89" w:rsidR="004948C7" w:rsidRDefault="004948C7" w:rsidP="004948C7">
      <w:r>
        <w:t>Tale modello è stato più volte oggetto di analisi sperimentali</w:t>
      </w:r>
      <w:r w:rsidR="005D13EE">
        <w:t xml:space="preserve">. Nel modello </w:t>
      </w:r>
      <w:r w:rsidR="005D13EE" w:rsidRPr="005D13EE">
        <w:rPr>
          <w:i/>
          <w:iCs/>
        </w:rPr>
        <w:t>ad asta bilaterale</w:t>
      </w:r>
      <w:r w:rsidR="005D13EE">
        <w:t>, in caso di squilibri dovuti a shock dal lato della domanda o dell’offerta (trasposizioni), la convergenza verso l’equilibrio avviene abbastanza rapidamente</w:t>
      </w:r>
      <w:r w:rsidR="0008467F">
        <w:t>; e i soggetti attraverso gli scambi realizzano surplus (dell’acquirente e del venditore) di rilievo;</w:t>
      </w:r>
      <w:r w:rsidR="005D13EE">
        <w:t xml:space="preserve"> come </w:t>
      </w:r>
      <w:r w:rsidR="0008467F">
        <w:t>predetto da</w:t>
      </w:r>
      <w:r w:rsidR="005D13EE">
        <w:t xml:space="preserve">l modello di concorrenza perfetta. Invece nel modello </w:t>
      </w:r>
      <w:r w:rsidR="005D13EE" w:rsidRPr="005D13EE">
        <w:rPr>
          <w:i/>
          <w:iCs/>
        </w:rPr>
        <w:t>a prezzi esposti</w:t>
      </w:r>
      <w:r w:rsidR="005D13EE">
        <w:t xml:space="preserve"> (all’inizio i venditori fissano simultaneamente e indipendentemente l’uno dall’altro i prezzi e li espongono pubblicamente) la convergenza è più lenta</w:t>
      </w:r>
      <w:r w:rsidR="00FD0373">
        <w:t xml:space="preserve"> perché i venditori possono modificare il prezzo solo nel periodo seguente; e durante l’aggiustamento prevalgono prezzi superiori a quello di equilibrio (dunque </w:t>
      </w:r>
      <w:r w:rsidR="0008467F">
        <w:t>il surplus</w:t>
      </w:r>
      <w:r w:rsidR="00FD0373">
        <w:t xml:space="preserve"> </w:t>
      </w:r>
      <w:r w:rsidR="0008467F">
        <w:t>de</w:t>
      </w:r>
      <w:r w:rsidR="00FD0373">
        <w:t>i venditori</w:t>
      </w:r>
      <w:r w:rsidR="0008467F">
        <w:t xml:space="preserve"> è superiore a quello predetto dalla teoria concorrenziale perfetta</w:t>
      </w:r>
      <w:r w:rsidR="00FD0373">
        <w:t>).</w:t>
      </w:r>
    </w:p>
    <w:p w14:paraId="0E6A06AF" w14:textId="77777777" w:rsidR="00205384" w:rsidRDefault="00205384" w:rsidP="004948C7"/>
    <w:p w14:paraId="38F68A37" w14:textId="50A0A474" w:rsidR="009151EE" w:rsidRDefault="009151EE" w:rsidP="004948C7">
      <w:r>
        <w:t>Monopolio</w:t>
      </w:r>
    </w:p>
    <w:p w14:paraId="79C816D2" w14:textId="420F20CC" w:rsidR="009151EE" w:rsidRDefault="009151EE" w:rsidP="009151EE">
      <w:r w:rsidRPr="009151EE">
        <w:t xml:space="preserve">Secondo la </w:t>
      </w:r>
      <w:r w:rsidRPr="009151EE">
        <w:rPr>
          <w:i/>
          <w:iCs/>
        </w:rPr>
        <w:t>teoria dei mercati contendibili</w:t>
      </w:r>
      <w:r w:rsidRPr="009151EE">
        <w:t xml:space="preserve"> (W. </w:t>
      </w:r>
      <w:proofErr w:type="spellStart"/>
      <w:r w:rsidRPr="009151EE">
        <w:t>Baumol</w:t>
      </w:r>
      <w:proofErr w:type="spellEnd"/>
      <w:r w:rsidRPr="009151EE">
        <w:t xml:space="preserve">, J. </w:t>
      </w:r>
      <w:proofErr w:type="spellStart"/>
      <w:r w:rsidRPr="009151EE">
        <w:t>Panzar</w:t>
      </w:r>
      <w:proofErr w:type="spellEnd"/>
      <w:r w:rsidRPr="009151EE">
        <w:t xml:space="preserve">, R. </w:t>
      </w:r>
      <w:proofErr w:type="spellStart"/>
      <w:r w:rsidRPr="009151EE">
        <w:t>Willig</w:t>
      </w:r>
      <w:proofErr w:type="spellEnd"/>
      <w:r w:rsidRPr="009151EE">
        <w:t>, 1982), il monopolista non è mai completamente sicuro di conservare la propria posizione, in quanto subisce la concorrenza potenziale di un nuovo venditore che ha costi di produzione uguali e può insidiare il suo potere di mercato; di conseguenza il monopolista praticherà un prezzo tale per cui la sua posizione non venga messa in discussione, il che significa che il prezzo sarà vicino a quello di concorrenza, senza svantaggi per gli acquirenti.</w:t>
      </w:r>
      <w:r>
        <w:t xml:space="preserve"> Gli esperimenti condotti sui mercati contendibili confermano la teoria.</w:t>
      </w:r>
    </w:p>
    <w:p w14:paraId="596A1BE8" w14:textId="56BD7F67" w:rsidR="00205384" w:rsidRDefault="00205384" w:rsidP="009151EE"/>
    <w:p w14:paraId="3ECD7061" w14:textId="77777777" w:rsidR="00205384" w:rsidRPr="009151EE" w:rsidRDefault="00205384" w:rsidP="009151EE"/>
    <w:p w14:paraId="70747A07" w14:textId="5E05F271" w:rsidR="009151EE" w:rsidRDefault="00205384" w:rsidP="004948C7">
      <w:r>
        <w:lastRenderedPageBreak/>
        <w:t>Le aste</w:t>
      </w:r>
    </w:p>
    <w:p w14:paraId="2532B5D0" w14:textId="0CD63830" w:rsidR="00205384" w:rsidRDefault="00205384" w:rsidP="004948C7">
      <w:r>
        <w:t>Per la vendita delle frequenze radiofoniche negli Stati Uniti ci si è serviti dell’economia sperimentale.</w:t>
      </w:r>
    </w:p>
    <w:p w14:paraId="11364A7A" w14:textId="6AD3F745" w:rsidR="00205384" w:rsidRDefault="00205384" w:rsidP="004948C7"/>
    <w:p w14:paraId="60C200CF" w14:textId="141A40C0" w:rsidR="00205384" w:rsidRDefault="00205384" w:rsidP="004948C7">
      <w:r>
        <w:t>Oligopoli</w:t>
      </w:r>
    </w:p>
    <w:p w14:paraId="3FE82DB6" w14:textId="35867C1B" w:rsidR="00205384" w:rsidRDefault="00205384" w:rsidP="004948C7">
      <w:r>
        <w:t>Le antitrust hanno commissionato studi sperimentali per</w:t>
      </w:r>
      <w:r w:rsidR="009C1A95">
        <w:t xml:space="preserve"> scoprire se si determinano comportamenti anticoncorrenziali illeciti.</w:t>
      </w:r>
    </w:p>
    <w:p w14:paraId="0353D8DA" w14:textId="42B2E0C9" w:rsidR="003002E2" w:rsidRDefault="003002E2" w:rsidP="004948C7"/>
    <w:p w14:paraId="636664B3" w14:textId="5E8641B6" w:rsidR="003002E2" w:rsidRDefault="003002E2" w:rsidP="003002E2">
      <w:pPr>
        <w:jc w:val="center"/>
      </w:pPr>
      <w:r>
        <w:t>Interazioni sociali</w:t>
      </w:r>
    </w:p>
    <w:p w14:paraId="5F93D6A8" w14:textId="57A46D95" w:rsidR="003002E2" w:rsidRDefault="003002E2" w:rsidP="003002E2"/>
    <w:p w14:paraId="126F68FD" w14:textId="356EF7E0" w:rsidR="00A27E56" w:rsidRDefault="00A27E56" w:rsidP="00A27E56">
      <w:pPr>
        <w:jc w:val="center"/>
      </w:pPr>
      <w:r>
        <w:t>1. Cooperazione</w:t>
      </w:r>
    </w:p>
    <w:p w14:paraId="5A0CC731" w14:textId="76C5843F" w:rsidR="003B2DF2" w:rsidRDefault="003B2DF2" w:rsidP="003002E2">
      <w:r>
        <w:t>Dilemma del prigioniero</w:t>
      </w:r>
    </w:p>
    <w:p w14:paraId="6E54F9BD" w14:textId="0F796264" w:rsidR="003B2DF2" w:rsidRDefault="003B2DF2" w:rsidP="003002E2">
      <w:r>
        <w:t>I risultati sperimentali dimostrano che la non cooperazione non è il comportamento dominante, il tasso di cooperazione dipende da svariati fattori: matrice dei payoffs, sesso, età, cultura, personalità ecc.</w:t>
      </w:r>
    </w:p>
    <w:p w14:paraId="3EC04768" w14:textId="718039A5" w:rsidR="003B2DF2" w:rsidRDefault="003B2DF2" w:rsidP="003002E2"/>
    <w:p w14:paraId="5F30591D" w14:textId="7919DAA5" w:rsidR="003B2DF2" w:rsidRDefault="003B2DF2" w:rsidP="003002E2">
      <w:r>
        <w:t>Beni pubblici</w:t>
      </w:r>
    </w:p>
    <w:p w14:paraId="7C46D270" w14:textId="164A0FB5" w:rsidR="00342A97" w:rsidRDefault="00342A97" w:rsidP="00342A97">
      <w:r>
        <w:t xml:space="preserve">Come si è già visto sopra, si può testare l’ipotesi del </w:t>
      </w:r>
      <w:r w:rsidRPr="008B2991">
        <w:rPr>
          <w:i/>
          <w:iCs/>
        </w:rPr>
        <w:t>free riding</w:t>
      </w:r>
      <w:r>
        <w:t xml:space="preserve"> nella teoria dei beni pubblici.</w:t>
      </w:r>
      <w:r w:rsidRPr="007F4E3D">
        <w:t xml:space="preserve"> </w:t>
      </w:r>
      <w:r>
        <w:t xml:space="preserve">L’esperimento promosso da John </w:t>
      </w:r>
      <w:proofErr w:type="spellStart"/>
      <w:r>
        <w:t>Ledyard</w:t>
      </w:r>
      <w:proofErr w:type="spellEnd"/>
      <w:r>
        <w:t xml:space="preserve"> ha evidenziato come la predizione teorica di contribuzione pari a zero sia erronea: i soggetti depositano nel fondo comune tra il 40% e il 60% della loro dotazione iniziale</w:t>
      </w:r>
      <w:r>
        <w:rPr>
          <w:rStyle w:val="Rimandonotaapidipagina"/>
        </w:rPr>
        <w:footnoteReference w:id="5"/>
      </w:r>
      <w:r>
        <w:t>.</w:t>
      </w:r>
    </w:p>
    <w:p w14:paraId="38B0D3C7" w14:textId="6EFE9FD6" w:rsidR="00342A97" w:rsidRPr="009176F1" w:rsidRDefault="00342A97" w:rsidP="00342A97">
      <w:r>
        <w:t xml:space="preserve">Inoltre </w:t>
      </w:r>
      <w:r w:rsidRPr="00342A97">
        <w:t>si è evidenziato che un meccanismo sanzionatorio non monetario (informale), basato sulla pressione sociale, conduce a un aumento notevole dei livelli contributivi, dunque della cooperazione</w:t>
      </w:r>
      <w:r>
        <w:rPr>
          <w:rStyle w:val="Rimandonotaapidipagina"/>
        </w:rPr>
        <w:footnoteReference w:id="6"/>
      </w:r>
      <w:r w:rsidRPr="00342A97">
        <w:t xml:space="preserve">. </w:t>
      </w:r>
    </w:p>
    <w:p w14:paraId="68FE7FDD" w14:textId="067C35E1" w:rsidR="003B2DF2" w:rsidRPr="009176F1" w:rsidRDefault="003B2DF2" w:rsidP="003002E2"/>
    <w:p w14:paraId="662B9E20" w14:textId="58D61F56" w:rsidR="003B2DF2" w:rsidRDefault="006A74AB" w:rsidP="003002E2">
      <w:r>
        <w:t>C</w:t>
      </w:r>
      <w:r w:rsidR="003B2DF2">
        <w:t xml:space="preserve">ommons </w:t>
      </w:r>
    </w:p>
    <w:p w14:paraId="297D02C8" w14:textId="72CF3696" w:rsidR="006A74AB" w:rsidRDefault="006A74AB" w:rsidP="003002E2">
      <w:r>
        <w:t>È la situazione speculare rispetto al gioco del bene pubblico. Esiste già un fondo comune e si tratta di prelevare o meno; l’ottimo sociale si ottiene quando nessuno preleva niente</w:t>
      </w:r>
      <w:r w:rsidR="00A27E56">
        <w:t>.</w:t>
      </w:r>
    </w:p>
    <w:p w14:paraId="126E2031" w14:textId="25D5A97B" w:rsidR="00A27E56" w:rsidRDefault="00A27E56" w:rsidP="003002E2"/>
    <w:p w14:paraId="10D39792" w14:textId="4A47388F" w:rsidR="00A27E56" w:rsidRDefault="00A27E56" w:rsidP="00A27E56">
      <w:pPr>
        <w:jc w:val="center"/>
      </w:pPr>
      <w:r>
        <w:t>2. Coordinamento</w:t>
      </w:r>
    </w:p>
    <w:p w14:paraId="07A9E717" w14:textId="77777777" w:rsidR="00EA531D" w:rsidRDefault="00EA531D" w:rsidP="000C6FA5">
      <w:pPr>
        <w:ind w:firstLine="0"/>
      </w:pPr>
    </w:p>
    <w:p w14:paraId="6EA055F6" w14:textId="33F7F30F" w:rsidR="0067099F" w:rsidRDefault="009176F1" w:rsidP="00625D1A">
      <w:r>
        <w:t>È la capacità di coordinarsi nelle scelte strategiche.</w:t>
      </w:r>
      <w:r w:rsidR="000C6FA5">
        <w:t xml:space="preserve"> </w:t>
      </w:r>
      <w:r w:rsidR="00CA0F8D">
        <w:t>In base alle evidenze sperimentali, gli individui sono in grado di coordinarsi in misura maggiore di quanto non predica la teoria dei giochi.</w:t>
      </w:r>
    </w:p>
    <w:p w14:paraId="4A3457AC" w14:textId="5514376D" w:rsidR="00CA0F8D" w:rsidRDefault="00CA0F8D" w:rsidP="00625D1A"/>
    <w:p w14:paraId="039F378E" w14:textId="2F936C12" w:rsidR="00CA0F8D" w:rsidRDefault="00CA0F8D" w:rsidP="00CA0F8D">
      <w:pPr>
        <w:jc w:val="center"/>
      </w:pPr>
      <w:r>
        <w:t>3. Fiducia e reciprocità</w:t>
      </w:r>
    </w:p>
    <w:p w14:paraId="45A5C6CE" w14:textId="3DB7727F" w:rsidR="00CA0F8D" w:rsidRDefault="00CA0F8D" w:rsidP="00CA0F8D">
      <w:r>
        <w:t>L’economia sperimentale ha portato alla luce una serie di contesti</w:t>
      </w:r>
      <w:r w:rsidR="0063471C">
        <w:t xml:space="preserve"> nei quali un rapporto di fiducia e lealtà si può instaurare laddove la teoria economica classica predice il contrario.</w:t>
      </w:r>
    </w:p>
    <w:p w14:paraId="1FA739EF" w14:textId="77777777" w:rsidR="00BE44E8" w:rsidRDefault="00BE44E8" w:rsidP="00BE44E8">
      <w:pPr>
        <w:ind w:firstLine="0"/>
      </w:pPr>
    </w:p>
    <w:p w14:paraId="68AA05A1" w14:textId="77777777" w:rsidR="000D75CB" w:rsidRDefault="000D75CB" w:rsidP="000D75CB"/>
    <w:sectPr w:rsidR="000D75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72115" w14:textId="77777777" w:rsidR="008B2991" w:rsidRDefault="008B2991" w:rsidP="008B2991">
      <w:r>
        <w:separator/>
      </w:r>
    </w:p>
  </w:endnote>
  <w:endnote w:type="continuationSeparator" w:id="0">
    <w:p w14:paraId="2C2F07F9" w14:textId="77777777" w:rsidR="008B2991" w:rsidRDefault="008B2991" w:rsidP="008B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6E424" w14:textId="77777777" w:rsidR="008B2991" w:rsidRDefault="008B2991" w:rsidP="008B2991">
      <w:r>
        <w:separator/>
      </w:r>
    </w:p>
  </w:footnote>
  <w:footnote w:type="continuationSeparator" w:id="0">
    <w:p w14:paraId="4631F217" w14:textId="77777777" w:rsidR="008B2991" w:rsidRDefault="008B2991" w:rsidP="008B2991">
      <w:r>
        <w:continuationSeparator/>
      </w:r>
    </w:p>
  </w:footnote>
  <w:footnote w:id="1">
    <w:p w14:paraId="7423C75D" w14:textId="3969DBC3" w:rsidR="00927C4F" w:rsidRDefault="00927C4F" w:rsidP="00BE583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BE583D">
        <w:rPr>
          <w:rFonts w:cs="Times New Roman"/>
        </w:rPr>
        <w:t>«</w:t>
      </w:r>
      <w:r w:rsidR="00BE583D" w:rsidRPr="00BE583D">
        <w:t>Tuttavia, il livello di controllo sperimentale per l'economista non è assolutamente comparabile a quello del fisico o del chimico. In fisica ed in chimica, il metodo sperimentale permette un controllo quasi perfetto dell</w:t>
      </w:r>
      <w:r w:rsidR="00BE583D">
        <w:t>’</w:t>
      </w:r>
      <w:r w:rsidR="00BE583D" w:rsidRPr="00BE583D">
        <w:t>ambiente, in quanto è possibile eliminare tutti i fattori che influenzano il comportamento dell</w:t>
      </w:r>
      <w:r w:rsidR="00BE583D">
        <w:t>’</w:t>
      </w:r>
      <w:r w:rsidR="00BE583D" w:rsidRPr="00BE583D">
        <w:t xml:space="preserve">oggetto di studio diversi da quelli controllati dallo sperimentatore. Ciò è possibile poiché gli oggetti di studio, ad esempio le particelle elementari o i composti chimici, sono del tutto intercambiabili e definiti da un modesto numero di caratteristiche facilmente misurabili (numero atomico, composizione chimica ecc.), In economia, al contrario, un simile grado di controllo è impossibile da raggiungere nella misura in cui </w:t>
      </w:r>
      <w:r w:rsidR="00BE583D" w:rsidRPr="00BE583D">
        <w:rPr>
          <w:i/>
          <w:iCs/>
        </w:rPr>
        <w:t>ogni soggetto arriva in laboratorio con una propria storia personale alle spalle</w:t>
      </w:r>
      <w:r w:rsidR="00BE583D" w:rsidRPr="00BE583D">
        <w:t xml:space="preserve"> e costituisce di per sé un oggetto molto complesso</w:t>
      </w:r>
      <w:r w:rsidR="00BE583D">
        <w:rPr>
          <w:rFonts w:cs="Times New Roman"/>
        </w:rPr>
        <w:t>»</w:t>
      </w:r>
      <w:r w:rsidR="00BE583D" w:rsidRPr="00BE583D">
        <w:t>.</w:t>
      </w:r>
      <w:r w:rsidR="00BE583D">
        <w:t xml:space="preserve"> </w:t>
      </w:r>
      <w:bookmarkStart w:id="0" w:name="_Hlk57980474"/>
      <w:r w:rsidR="00BE583D">
        <w:t xml:space="preserve">N. </w:t>
      </w:r>
      <w:proofErr w:type="spellStart"/>
      <w:r w:rsidR="00BE583D">
        <w:t>Eber</w:t>
      </w:r>
      <w:proofErr w:type="spellEnd"/>
      <w:r w:rsidR="00BE583D">
        <w:t xml:space="preserve">, M. </w:t>
      </w:r>
      <w:proofErr w:type="spellStart"/>
      <w:r w:rsidR="00BE583D">
        <w:t>Willinger</w:t>
      </w:r>
      <w:proofErr w:type="spellEnd"/>
      <w:r w:rsidR="00BE583D">
        <w:t xml:space="preserve">, </w:t>
      </w:r>
      <w:r w:rsidR="00BE583D" w:rsidRPr="00BE583D">
        <w:rPr>
          <w:i/>
          <w:iCs/>
        </w:rPr>
        <w:t>Economia in laboratorio</w:t>
      </w:r>
      <w:r w:rsidR="00BE583D">
        <w:t xml:space="preserve"> (2005), il Mulino, Bologna, 2009, p. 19.</w:t>
      </w:r>
    </w:p>
    <w:bookmarkEnd w:id="0"/>
  </w:footnote>
  <w:footnote w:id="2">
    <w:p w14:paraId="6575C048" w14:textId="4E871B6A" w:rsidR="00253BAA" w:rsidRPr="00253BAA" w:rsidRDefault="00253BAA">
      <w:pPr>
        <w:pStyle w:val="Testonotaapidipagina"/>
      </w:pPr>
      <w:r>
        <w:rPr>
          <w:rStyle w:val="Rimandonotaapidipagina"/>
        </w:rPr>
        <w:footnoteRef/>
      </w:r>
      <w:r w:rsidRPr="00253BAA">
        <w:t xml:space="preserve"> Un limite del metodo è </w:t>
      </w:r>
      <w:r>
        <w:t xml:space="preserve">che non si possono configurare </w:t>
      </w:r>
      <w:r w:rsidRPr="00253BAA">
        <w:rPr>
          <w:i/>
          <w:iCs/>
        </w:rPr>
        <w:t>perdite</w:t>
      </w:r>
      <w:r>
        <w:t xml:space="preserve">, nel senso della richiesta di una somma di denaro alla fine del gioco (mentre </w:t>
      </w:r>
      <w:r w:rsidR="006B1296" w:rsidRPr="00253BAA">
        <w:rPr>
          <w:i/>
          <w:iCs/>
        </w:rPr>
        <w:t>durante il gioco</w:t>
      </w:r>
      <w:r w:rsidR="006B1296">
        <w:t xml:space="preserve"> l</w:t>
      </w:r>
      <w:r>
        <w:t>a perdita di parte della somma vinta è possibile).</w:t>
      </w:r>
      <w:r w:rsidR="006B1296">
        <w:t xml:space="preserve"> La possibilità di perdite è importante perché misura l’avversione al rischio. Un altro problema riguarda l’entità della somma in gioco (il raggio di osservazione): se la somma fosse dieci o cento volte superiore, i comportamenti cambierebbero.</w:t>
      </w:r>
    </w:p>
  </w:footnote>
  <w:footnote w:id="3">
    <w:p w14:paraId="68A79306" w14:textId="756A344F" w:rsidR="008B2991" w:rsidRPr="008B2991" w:rsidRDefault="008B2991" w:rsidP="007402D5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7F4E3D">
        <w:rPr>
          <w:lang w:val="en-US"/>
        </w:rPr>
        <w:t xml:space="preserve"> </w:t>
      </w:r>
      <w:r w:rsidRPr="00551698">
        <w:rPr>
          <w:lang w:val="en-US"/>
        </w:rPr>
        <w:t xml:space="preserve">J. Ledyard, </w:t>
      </w:r>
      <w:r w:rsidRPr="00551698">
        <w:rPr>
          <w:i/>
          <w:iCs/>
          <w:lang w:val="en-US"/>
        </w:rPr>
        <w:t xml:space="preserve">Public </w:t>
      </w:r>
      <w:r>
        <w:rPr>
          <w:i/>
          <w:iCs/>
          <w:lang w:val="en-US"/>
        </w:rPr>
        <w:t>G</w:t>
      </w:r>
      <w:r w:rsidRPr="00551698">
        <w:rPr>
          <w:i/>
          <w:iCs/>
          <w:lang w:val="en-US"/>
        </w:rPr>
        <w:t xml:space="preserve">oods: </w:t>
      </w:r>
      <w:r>
        <w:rPr>
          <w:i/>
          <w:iCs/>
          <w:lang w:val="en-US"/>
        </w:rPr>
        <w:t>A</w:t>
      </w:r>
      <w:r w:rsidRPr="00551698"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t>S</w:t>
      </w:r>
      <w:r w:rsidRPr="00551698">
        <w:rPr>
          <w:i/>
          <w:iCs/>
          <w:lang w:val="en-US"/>
        </w:rPr>
        <w:t xml:space="preserve">urvey of </w:t>
      </w:r>
      <w:r>
        <w:rPr>
          <w:i/>
          <w:iCs/>
          <w:lang w:val="en-US"/>
        </w:rPr>
        <w:t>E</w:t>
      </w:r>
      <w:r w:rsidRPr="00551698">
        <w:rPr>
          <w:i/>
          <w:iCs/>
          <w:lang w:val="en-US"/>
        </w:rPr>
        <w:t xml:space="preserve">xperimental </w:t>
      </w:r>
      <w:r>
        <w:rPr>
          <w:i/>
          <w:iCs/>
          <w:lang w:val="en-US"/>
        </w:rPr>
        <w:t>R</w:t>
      </w:r>
      <w:r w:rsidRPr="00551698">
        <w:rPr>
          <w:i/>
          <w:iCs/>
          <w:lang w:val="en-US"/>
        </w:rPr>
        <w:t>esearch</w:t>
      </w:r>
      <w:r w:rsidRPr="00551698">
        <w:rPr>
          <w:lang w:val="en-US"/>
        </w:rPr>
        <w:t xml:space="preserve">, in </w:t>
      </w:r>
      <w:r>
        <w:rPr>
          <w:lang w:val="en-US"/>
        </w:rPr>
        <w:t>J. K</w:t>
      </w:r>
      <w:r w:rsidRPr="00551698">
        <w:rPr>
          <w:lang w:val="en-US"/>
        </w:rPr>
        <w:t xml:space="preserve">agel, </w:t>
      </w:r>
      <w:r>
        <w:rPr>
          <w:lang w:val="en-US"/>
        </w:rPr>
        <w:t xml:space="preserve">A. </w:t>
      </w:r>
      <w:r w:rsidRPr="00551698">
        <w:rPr>
          <w:lang w:val="en-US"/>
        </w:rPr>
        <w:t xml:space="preserve">Roth, </w:t>
      </w:r>
      <w:r w:rsidRPr="00551698">
        <w:rPr>
          <w:i/>
          <w:iCs/>
          <w:lang w:val="en-US"/>
        </w:rPr>
        <w:t>Handbook of Experimental Economics</w:t>
      </w:r>
      <w:r>
        <w:rPr>
          <w:lang w:val="en-US"/>
        </w:rPr>
        <w:t xml:space="preserve">, Princeton University Press, Princeton, </w:t>
      </w:r>
      <w:r w:rsidRPr="00551698">
        <w:rPr>
          <w:lang w:val="en-US"/>
        </w:rPr>
        <w:t xml:space="preserve">1995, pp. </w:t>
      </w:r>
      <w:r>
        <w:rPr>
          <w:lang w:val="en-US"/>
        </w:rPr>
        <w:t>111-194.</w:t>
      </w:r>
    </w:p>
  </w:footnote>
  <w:footnote w:id="4">
    <w:p w14:paraId="6E4EACF3" w14:textId="5988074C" w:rsidR="007402D5" w:rsidRPr="004B603B" w:rsidRDefault="007402D5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>
        <w:t xml:space="preserve"> L’economia sperimentale si intreccia all’economia comportamentale o comportamentista: l</w:t>
      </w:r>
      <w:r w:rsidRPr="004C0062">
        <w:t xml:space="preserve">’economista </w:t>
      </w:r>
      <w:r>
        <w:t xml:space="preserve">e premio Nobel </w:t>
      </w:r>
      <w:r w:rsidRPr="004C0062">
        <w:t xml:space="preserve">Richard H. Thaler e il giurista Cass R. Sunstein </w:t>
      </w:r>
      <w:r w:rsidR="00B00668">
        <w:t xml:space="preserve">(con il contributo anche di </w:t>
      </w:r>
      <w:proofErr w:type="spellStart"/>
      <w:r w:rsidR="00B00668">
        <w:t>Kahneman</w:t>
      </w:r>
      <w:proofErr w:type="spellEnd"/>
      <w:r w:rsidR="00B00668">
        <w:t xml:space="preserve">) </w:t>
      </w:r>
      <w:r w:rsidRPr="004C0062">
        <w:t>hanno sostenuto un “paternalismo libertario” attraverso la teoria della “spinta gentile” (</w:t>
      </w:r>
      <w:proofErr w:type="spellStart"/>
      <w:r w:rsidRPr="004C0062">
        <w:rPr>
          <w:i/>
        </w:rPr>
        <w:t>nudge</w:t>
      </w:r>
      <w:proofErr w:type="spellEnd"/>
      <w:r w:rsidRPr="004C0062">
        <w:t xml:space="preserve">). Gli individui, tutt’altro che perfettamente razionali, commettono errori cognitivi: se il legislatore o il governante, attraverso interventi leggeri e mirati, può correggere l’errore, l’individuo migliora il suo benessere. “Paternalismo” perché l’intervento è volto a evidenziare e suggerire la scelta migliore, “libertario” perché all’individuo resterebbe la libertà di scelta. Non si tratterebbe di un’interferenza aggressiva, di un’imposizione, bensì di una guida; non verrebbero modificati i fini degli individui, ma i mezzi per raggiungerli. Esempi di tale interventismo “mite” sono il silenzio-assenso nell’adesione ai fondi pensionistici delle aziende o nella donazione degli organi, le immagini scioccanti sui pacchetti di sigarette, la migliore esposizione sugli scaffali dei negozi degli alimenti più salubri. </w:t>
      </w:r>
      <w:r w:rsidRPr="00B065E8">
        <w:rPr>
          <w:lang w:val="en-GB"/>
        </w:rPr>
        <w:t>R.H. Thaler, C.R. Su</w:t>
      </w:r>
      <w:r>
        <w:rPr>
          <w:lang w:val="en-GB"/>
        </w:rPr>
        <w:t>n</w:t>
      </w:r>
      <w:r w:rsidRPr="00B065E8">
        <w:rPr>
          <w:lang w:val="en-GB"/>
        </w:rPr>
        <w:t xml:space="preserve">stein, </w:t>
      </w:r>
      <w:r w:rsidRPr="00B065E8">
        <w:rPr>
          <w:i/>
          <w:lang w:val="en-GB"/>
        </w:rPr>
        <w:t>Nudge: Improving Decisions About Health, Wealth, and Happiness</w:t>
      </w:r>
      <w:r w:rsidRPr="00B065E8">
        <w:rPr>
          <w:lang w:val="en-GB"/>
        </w:rPr>
        <w:t xml:space="preserve">, Yale University Press, New Haven, CT, 2008; </w:t>
      </w:r>
      <w:r w:rsidRPr="004C0062">
        <w:rPr>
          <w:lang w:val="en-US"/>
        </w:rPr>
        <w:t xml:space="preserve">C.R. Sunstein, </w:t>
      </w:r>
      <w:r w:rsidRPr="004C0062">
        <w:rPr>
          <w:i/>
          <w:lang w:val="en-US"/>
        </w:rPr>
        <w:t>Why Nudge? The Politics of Libertarian Paternalism</w:t>
      </w:r>
      <w:r w:rsidRPr="004C0062">
        <w:rPr>
          <w:lang w:val="en-US"/>
        </w:rPr>
        <w:t>, Yale University Press, New Haven, CT, 2014.</w:t>
      </w:r>
    </w:p>
  </w:footnote>
  <w:footnote w:id="5">
    <w:p w14:paraId="68926663" w14:textId="6C61654C" w:rsidR="00342A97" w:rsidRPr="008B2991" w:rsidRDefault="00342A97" w:rsidP="006A74AB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7F4E3D">
        <w:rPr>
          <w:lang w:val="en-US"/>
        </w:rPr>
        <w:t xml:space="preserve"> </w:t>
      </w:r>
      <w:r w:rsidRPr="00551698">
        <w:rPr>
          <w:lang w:val="en-US"/>
        </w:rPr>
        <w:t xml:space="preserve">J. Ledyard, </w:t>
      </w:r>
      <w:r w:rsidRPr="00551698">
        <w:rPr>
          <w:i/>
          <w:iCs/>
          <w:lang w:val="en-US"/>
        </w:rPr>
        <w:t xml:space="preserve">Public </w:t>
      </w:r>
      <w:r>
        <w:rPr>
          <w:i/>
          <w:iCs/>
          <w:lang w:val="en-US"/>
        </w:rPr>
        <w:t>G</w:t>
      </w:r>
      <w:r w:rsidRPr="00551698">
        <w:rPr>
          <w:i/>
          <w:iCs/>
          <w:lang w:val="en-US"/>
        </w:rPr>
        <w:t xml:space="preserve">oods: </w:t>
      </w:r>
      <w:r>
        <w:rPr>
          <w:i/>
          <w:iCs/>
          <w:lang w:val="en-US"/>
        </w:rPr>
        <w:t>A</w:t>
      </w:r>
      <w:r w:rsidRPr="00551698"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t>S</w:t>
      </w:r>
      <w:r w:rsidRPr="00551698">
        <w:rPr>
          <w:i/>
          <w:iCs/>
          <w:lang w:val="en-US"/>
        </w:rPr>
        <w:t xml:space="preserve">urvey of </w:t>
      </w:r>
      <w:r>
        <w:rPr>
          <w:i/>
          <w:iCs/>
          <w:lang w:val="en-US"/>
        </w:rPr>
        <w:t>E</w:t>
      </w:r>
      <w:r w:rsidRPr="00551698">
        <w:rPr>
          <w:i/>
          <w:iCs/>
          <w:lang w:val="en-US"/>
        </w:rPr>
        <w:t xml:space="preserve">xperimental </w:t>
      </w:r>
      <w:r>
        <w:rPr>
          <w:i/>
          <w:iCs/>
          <w:lang w:val="en-US"/>
        </w:rPr>
        <w:t>R</w:t>
      </w:r>
      <w:r w:rsidRPr="00551698">
        <w:rPr>
          <w:i/>
          <w:iCs/>
          <w:lang w:val="en-US"/>
        </w:rPr>
        <w:t>esearch</w:t>
      </w:r>
      <w:r w:rsidRPr="00551698">
        <w:rPr>
          <w:lang w:val="en-US"/>
        </w:rPr>
        <w:t xml:space="preserve">, in </w:t>
      </w:r>
      <w:r>
        <w:rPr>
          <w:lang w:val="en-US"/>
        </w:rPr>
        <w:t>J. K</w:t>
      </w:r>
      <w:r w:rsidRPr="00551698">
        <w:rPr>
          <w:lang w:val="en-US"/>
        </w:rPr>
        <w:t xml:space="preserve">agel, </w:t>
      </w:r>
      <w:r>
        <w:rPr>
          <w:lang w:val="en-US"/>
        </w:rPr>
        <w:t xml:space="preserve">A. </w:t>
      </w:r>
      <w:r w:rsidRPr="00551698">
        <w:rPr>
          <w:lang w:val="en-US"/>
        </w:rPr>
        <w:t xml:space="preserve">Roth, </w:t>
      </w:r>
      <w:r w:rsidRPr="00551698">
        <w:rPr>
          <w:i/>
          <w:iCs/>
          <w:lang w:val="en-US"/>
        </w:rPr>
        <w:t>Handbook of Experimental Economics</w:t>
      </w:r>
      <w:r>
        <w:rPr>
          <w:lang w:val="en-US"/>
        </w:rPr>
        <w:t xml:space="preserve">, Princeton University Press, Princeton, </w:t>
      </w:r>
      <w:r w:rsidRPr="00551698">
        <w:rPr>
          <w:lang w:val="en-US"/>
        </w:rPr>
        <w:t xml:space="preserve">1995, pp. </w:t>
      </w:r>
      <w:r>
        <w:rPr>
          <w:lang w:val="en-US"/>
        </w:rPr>
        <w:t>111-194.</w:t>
      </w:r>
    </w:p>
  </w:footnote>
  <w:footnote w:id="6">
    <w:p w14:paraId="75479C99" w14:textId="3946CE34" w:rsidR="00342A97" w:rsidRPr="009176F1" w:rsidRDefault="00342A97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6A74AB">
        <w:rPr>
          <w:lang w:val="en-US"/>
        </w:rPr>
        <w:t xml:space="preserve"> </w:t>
      </w:r>
      <w:r w:rsidR="006A74AB" w:rsidRPr="00342A97">
        <w:rPr>
          <w:lang w:val="en-US"/>
        </w:rPr>
        <w:t xml:space="preserve">D. </w:t>
      </w:r>
      <w:proofErr w:type="spellStart"/>
      <w:r w:rsidR="006A74AB" w:rsidRPr="00342A97">
        <w:rPr>
          <w:lang w:val="en-US"/>
        </w:rPr>
        <w:t>Masclet</w:t>
      </w:r>
      <w:proofErr w:type="spellEnd"/>
      <w:r w:rsidR="006A74AB" w:rsidRPr="00342A97">
        <w:rPr>
          <w:lang w:val="en-US"/>
        </w:rPr>
        <w:t xml:space="preserve">, C. </w:t>
      </w:r>
      <w:proofErr w:type="spellStart"/>
      <w:r w:rsidR="006A74AB" w:rsidRPr="00342A97">
        <w:rPr>
          <w:lang w:val="en-US"/>
        </w:rPr>
        <w:t>Noussair</w:t>
      </w:r>
      <w:proofErr w:type="spellEnd"/>
      <w:r w:rsidR="006A74AB" w:rsidRPr="00342A97">
        <w:rPr>
          <w:lang w:val="en-US"/>
        </w:rPr>
        <w:t xml:space="preserve">, S. Tucker, M-C. </w:t>
      </w:r>
      <w:proofErr w:type="spellStart"/>
      <w:r w:rsidR="006A74AB" w:rsidRPr="00342A97">
        <w:rPr>
          <w:lang w:val="en-US"/>
        </w:rPr>
        <w:t>Villeval</w:t>
      </w:r>
      <w:proofErr w:type="spellEnd"/>
      <w:r w:rsidR="006A74AB" w:rsidRPr="00342A97">
        <w:rPr>
          <w:lang w:val="en-US"/>
        </w:rPr>
        <w:t xml:space="preserve">, </w:t>
      </w:r>
      <w:r w:rsidR="006A74AB" w:rsidRPr="00342A97">
        <w:rPr>
          <w:i/>
          <w:iCs/>
          <w:lang w:val="en-US"/>
        </w:rPr>
        <w:t>Monetary and Nonmonetary Punishment in the Voluntary Contributions Mechanism</w:t>
      </w:r>
      <w:r w:rsidR="006A74AB" w:rsidRPr="00342A97">
        <w:rPr>
          <w:lang w:val="en-US"/>
        </w:rPr>
        <w:t>, in “American Economic Review”, vol. 93, 2003, pp. 366-390.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CB"/>
    <w:rsid w:val="000102B7"/>
    <w:rsid w:val="0008467F"/>
    <w:rsid w:val="000B101F"/>
    <w:rsid w:val="000B18B2"/>
    <w:rsid w:val="000C6FA5"/>
    <w:rsid w:val="000D75CB"/>
    <w:rsid w:val="000F4431"/>
    <w:rsid w:val="00152DEB"/>
    <w:rsid w:val="00205384"/>
    <w:rsid w:val="00253BAA"/>
    <w:rsid w:val="002A2564"/>
    <w:rsid w:val="003002E2"/>
    <w:rsid w:val="00305066"/>
    <w:rsid w:val="00312CE7"/>
    <w:rsid w:val="00342A97"/>
    <w:rsid w:val="003759F8"/>
    <w:rsid w:val="003B2DF2"/>
    <w:rsid w:val="003B4066"/>
    <w:rsid w:val="00421FDD"/>
    <w:rsid w:val="0042220B"/>
    <w:rsid w:val="00484A51"/>
    <w:rsid w:val="004948C7"/>
    <w:rsid w:val="004B603B"/>
    <w:rsid w:val="004E09F7"/>
    <w:rsid w:val="005303CA"/>
    <w:rsid w:val="005D13EE"/>
    <w:rsid w:val="00625D1A"/>
    <w:rsid w:val="0063471C"/>
    <w:rsid w:val="00642F17"/>
    <w:rsid w:val="0067099F"/>
    <w:rsid w:val="006759DB"/>
    <w:rsid w:val="006A74AB"/>
    <w:rsid w:val="006B1296"/>
    <w:rsid w:val="006D09E3"/>
    <w:rsid w:val="007402D5"/>
    <w:rsid w:val="007F4E3D"/>
    <w:rsid w:val="00844B93"/>
    <w:rsid w:val="008744DA"/>
    <w:rsid w:val="008B2991"/>
    <w:rsid w:val="009070C3"/>
    <w:rsid w:val="009151EE"/>
    <w:rsid w:val="009176F1"/>
    <w:rsid w:val="00927C4F"/>
    <w:rsid w:val="009A500F"/>
    <w:rsid w:val="009C1A95"/>
    <w:rsid w:val="00A27E56"/>
    <w:rsid w:val="00B00668"/>
    <w:rsid w:val="00BE44E8"/>
    <w:rsid w:val="00BE583D"/>
    <w:rsid w:val="00C4534B"/>
    <w:rsid w:val="00C72673"/>
    <w:rsid w:val="00CA0F8D"/>
    <w:rsid w:val="00D0021B"/>
    <w:rsid w:val="00D0543F"/>
    <w:rsid w:val="00D238B5"/>
    <w:rsid w:val="00D70D93"/>
    <w:rsid w:val="00DF3744"/>
    <w:rsid w:val="00E53CDC"/>
    <w:rsid w:val="00EA531D"/>
    <w:rsid w:val="00EE3742"/>
    <w:rsid w:val="00EF65B9"/>
    <w:rsid w:val="00FD0373"/>
    <w:rsid w:val="00FE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84A7F"/>
  <w15:chartTrackingRefBased/>
  <w15:docId w15:val="{B485B005-F13D-4CF6-8813-BF52BDFD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2A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B299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B299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B2991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BE583D"/>
    <w:rPr>
      <w:rFonts w:cs="Times New Roman"/>
      <w:szCs w:val="24"/>
    </w:rPr>
  </w:style>
  <w:style w:type="paragraph" w:styleId="Paragrafoelenco">
    <w:name w:val="List Paragraph"/>
    <w:basedOn w:val="Normale"/>
    <w:uiPriority w:val="34"/>
    <w:qFormat/>
    <w:rsid w:val="00A27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1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8254A-4D65-43BD-AF4E-6DFEEBC4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4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 Vernaglione</dc:creator>
  <cp:keywords/>
  <dc:description/>
  <cp:lastModifiedBy>Piero Vernaglione</cp:lastModifiedBy>
  <cp:revision>12</cp:revision>
  <dcterms:created xsi:type="dcterms:W3CDTF">2020-11-30T11:58:00Z</dcterms:created>
  <dcterms:modified xsi:type="dcterms:W3CDTF">2024-03-28T15:15:00Z</dcterms:modified>
</cp:coreProperties>
</file>