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E368D" w14:textId="77777777" w:rsidR="005D07DD" w:rsidRPr="005D07DD" w:rsidRDefault="005D07DD" w:rsidP="005D07DD">
      <w:pPr>
        <w:ind w:firstLine="0"/>
        <w:jc w:val="center"/>
        <w:rPr>
          <w:rFonts w:eastAsia="Times New Roman" w:cs="Times New Roman"/>
          <w:szCs w:val="20"/>
          <w:lang w:eastAsia="it-IT"/>
        </w:rPr>
      </w:pPr>
      <w:r w:rsidRPr="005D07DD">
        <w:rPr>
          <w:rFonts w:eastAsia="Times New Roman" w:cs="Times New Roman"/>
          <w:szCs w:val="20"/>
          <w:lang w:eastAsia="it-IT"/>
        </w:rPr>
        <w:t>Edmund BURKE</w:t>
      </w:r>
    </w:p>
    <w:p w14:paraId="403FA4FA" w14:textId="185CDD6F" w:rsidR="005D07DD" w:rsidRPr="005D07DD" w:rsidRDefault="005D07DD" w:rsidP="005D07DD">
      <w:pPr>
        <w:rPr>
          <w:rFonts w:eastAsia="Times New Roman" w:cs="Times New Roman"/>
          <w:szCs w:val="20"/>
          <w:lang w:eastAsia="it-IT"/>
        </w:rPr>
      </w:pPr>
      <w:r w:rsidRPr="005D07DD">
        <w:rPr>
          <w:rFonts w:eastAsia="Times New Roman" w:cs="Times New Roman"/>
          <w:szCs w:val="20"/>
          <w:lang w:eastAsia="it-IT"/>
        </w:rPr>
        <w:t xml:space="preserve">Sebbene le radici del conservatorismo possano essere rintracciate nel pensiero politico classico, il conservatorismo come filosofia politica coerente e distinta viene fatto risalire a Burke e in particolare alle </w:t>
      </w:r>
      <w:r w:rsidRPr="005D07DD">
        <w:rPr>
          <w:rFonts w:eastAsia="Times New Roman" w:cs="Times New Roman"/>
          <w:i/>
          <w:szCs w:val="20"/>
          <w:lang w:eastAsia="it-IT"/>
        </w:rPr>
        <w:t>Riflessioni sulla rivoluzione in Francia</w:t>
      </w:r>
      <w:r w:rsidR="00722C6D" w:rsidRPr="003E0731">
        <w:rPr>
          <w:rStyle w:val="Rimandonotaapidipagina"/>
          <w:rFonts w:eastAsia="Times New Roman" w:cs="Times New Roman"/>
          <w:iCs/>
          <w:szCs w:val="20"/>
          <w:lang w:eastAsia="it-IT"/>
        </w:rPr>
        <w:footnoteReference w:id="1"/>
      </w:r>
      <w:r w:rsidRPr="005D07DD">
        <w:rPr>
          <w:rFonts w:eastAsia="Times New Roman" w:cs="Times New Roman"/>
          <w:szCs w:val="20"/>
          <w:lang w:eastAsia="it-IT"/>
        </w:rPr>
        <w:t>.</w:t>
      </w:r>
    </w:p>
    <w:p w14:paraId="64A8D812" w14:textId="77777777" w:rsidR="005D07DD" w:rsidRPr="005D07DD" w:rsidRDefault="005D07DD" w:rsidP="005D07DD">
      <w:pPr>
        <w:rPr>
          <w:rFonts w:eastAsia="Times New Roman" w:cs="Times New Roman"/>
          <w:szCs w:val="20"/>
          <w:lang w:eastAsia="it-IT"/>
        </w:rPr>
      </w:pPr>
    </w:p>
    <w:p w14:paraId="3C760ECB" w14:textId="77777777" w:rsidR="005D07DD" w:rsidRPr="005D07DD" w:rsidRDefault="005D07DD" w:rsidP="005D07DD">
      <w:pPr>
        <w:rPr>
          <w:rFonts w:eastAsia="Times New Roman" w:cs="Times New Roman"/>
          <w:szCs w:val="20"/>
          <w:lang w:eastAsia="it-IT"/>
        </w:rPr>
      </w:pPr>
      <w:r w:rsidRPr="005D07DD">
        <w:rPr>
          <w:rFonts w:eastAsia="Times New Roman" w:cs="Times New Roman"/>
          <w:i/>
          <w:szCs w:val="20"/>
          <w:lang w:eastAsia="it-IT"/>
        </w:rPr>
        <w:t>Rivendicazione della società naturale</w:t>
      </w:r>
      <w:r w:rsidRPr="005D07DD">
        <w:rPr>
          <w:rFonts w:eastAsia="Times New Roman" w:cs="Times New Roman"/>
          <w:szCs w:val="20"/>
          <w:lang w:eastAsia="it-IT"/>
        </w:rPr>
        <w:t xml:space="preserve"> (1756)</w:t>
      </w:r>
    </w:p>
    <w:p w14:paraId="18225CF0" w14:textId="77777777" w:rsidR="005D07DD" w:rsidRPr="005D07DD" w:rsidRDefault="005D07DD" w:rsidP="005D07DD">
      <w:pPr>
        <w:rPr>
          <w:rFonts w:eastAsia="Times New Roman" w:cs="Times New Roman"/>
          <w:szCs w:val="20"/>
          <w:lang w:eastAsia="it-IT"/>
        </w:rPr>
      </w:pPr>
      <w:r w:rsidRPr="005D07DD">
        <w:rPr>
          <w:rFonts w:eastAsia="Times New Roman" w:cs="Times New Roman"/>
          <w:szCs w:val="20"/>
          <w:lang w:eastAsia="it-IT"/>
        </w:rPr>
        <w:t xml:space="preserve">Obiettivo dell’opera è investigare la natura delle istituzioni politiche o “società politica”. La società naturale parte dalla famiglia, individui uniti dal vincolo di sangue. Tuttavia i vantaggi che l’uomo consegue in una società così piccola sono limitati e dunque crea altre forme di associazione. Spinto da questa esigenza, l’uomo alla fine inventò le leggi, per mezzo delle quali costituì una società più grande di quella naturale; le leggi sono un artificio, non esistono in natura. Non appena l’uomo finì di costruire la società artificiale iniziarono le sue miserie e i suoi dolori: infatti egli, ponendo il potere politico, ha </w:t>
      </w:r>
      <w:proofErr w:type="gramStart"/>
      <w:r w:rsidRPr="005D07DD">
        <w:rPr>
          <w:rFonts w:eastAsia="Times New Roman" w:cs="Times New Roman"/>
          <w:szCs w:val="20"/>
          <w:lang w:eastAsia="it-IT"/>
        </w:rPr>
        <w:t>posto in essere</w:t>
      </w:r>
      <w:proofErr w:type="gramEnd"/>
      <w:r w:rsidRPr="005D07DD">
        <w:rPr>
          <w:rFonts w:eastAsia="Times New Roman" w:cs="Times New Roman"/>
          <w:szCs w:val="20"/>
          <w:lang w:eastAsia="it-IT"/>
        </w:rPr>
        <w:t xml:space="preserve"> una forza che non riesce a controllare; guerre, stragi, stermini. Tutti i tentativi fatti nella storia per cercare di controllare la forza sociale, e cioè le forme di governo, monarchia, aristocrazia, democrazia, costituzione mista, sono falliti.</w:t>
      </w:r>
      <w:r w:rsidRPr="005D07DD">
        <w:rPr>
          <w:rFonts w:eastAsia="Times New Roman" w:cs="Times New Roman"/>
          <w:i/>
          <w:szCs w:val="20"/>
          <w:lang w:eastAsia="it-IT"/>
        </w:rPr>
        <w:t xml:space="preserve"> </w:t>
      </w:r>
      <w:r w:rsidRPr="005D07DD">
        <w:rPr>
          <w:rFonts w:eastAsia="Times New Roman" w:cs="Times New Roman"/>
          <w:szCs w:val="20"/>
          <w:lang w:eastAsia="it-IT"/>
        </w:rPr>
        <w:t>Questo esito è iscritto nella natura stessa dello Stato, caratterizzata dalla violenza, cioè dalla subordinazione di alcuni alla tirannia di altri.</w:t>
      </w:r>
    </w:p>
    <w:p w14:paraId="795418D5" w14:textId="77777777" w:rsidR="005D07DD" w:rsidRPr="005D07DD" w:rsidRDefault="005D07DD" w:rsidP="005D07DD">
      <w:pPr>
        <w:rPr>
          <w:rFonts w:eastAsia="Times New Roman" w:cs="Times New Roman"/>
          <w:szCs w:val="20"/>
          <w:lang w:eastAsia="it-IT"/>
        </w:rPr>
      </w:pPr>
      <w:r w:rsidRPr="005D07DD">
        <w:rPr>
          <w:rFonts w:eastAsia="Times New Roman" w:cs="Times New Roman"/>
          <w:szCs w:val="20"/>
          <w:lang w:eastAsia="it-IT"/>
        </w:rPr>
        <w:t>B. denuncia dunque il fallimento della ragione illuministica.</w:t>
      </w:r>
    </w:p>
    <w:p w14:paraId="2A49A5AE" w14:textId="77777777" w:rsidR="005D07DD" w:rsidRPr="005D07DD" w:rsidRDefault="005D07DD" w:rsidP="005D07DD">
      <w:pPr>
        <w:spacing w:after="60"/>
        <w:rPr>
          <w:rFonts w:eastAsia="Times New Roman" w:cs="Times New Roman"/>
          <w:szCs w:val="20"/>
          <w:lang w:eastAsia="it-IT"/>
        </w:rPr>
      </w:pPr>
      <w:r w:rsidRPr="005D07DD">
        <w:rPr>
          <w:rFonts w:eastAsia="Times New Roman" w:cs="Times New Roman"/>
          <w:szCs w:val="20"/>
          <w:lang w:eastAsia="it-IT"/>
        </w:rPr>
        <w:t>La realtà umana si genera nella fantasia, nel sentimento, nella passione, che sono anteriori alla ragione, ne sono il nutrimento; dunque preminenza della religione e dell’arte.</w:t>
      </w:r>
    </w:p>
    <w:p w14:paraId="6665D941" w14:textId="77777777" w:rsidR="005D07DD" w:rsidRPr="005D07DD" w:rsidRDefault="005D07DD" w:rsidP="005D07DD">
      <w:pPr>
        <w:rPr>
          <w:rFonts w:eastAsia="Times New Roman" w:cs="Times New Roman"/>
          <w:color w:val="0000FF"/>
          <w:szCs w:val="20"/>
          <w:lang w:eastAsia="it-IT"/>
        </w:rPr>
      </w:pPr>
      <w:r w:rsidRPr="005D07DD">
        <w:rPr>
          <w:rFonts w:eastAsia="Times New Roman" w:cs="Times New Roman"/>
          <w:color w:val="0000FF"/>
          <w:szCs w:val="20"/>
          <w:lang w:eastAsia="it-IT"/>
        </w:rPr>
        <w:t xml:space="preserve">M. Rothbard: </w:t>
      </w:r>
      <w:r w:rsidRPr="005D07DD">
        <w:rPr>
          <w:rFonts w:eastAsia="Times New Roman" w:cs="Times New Roman"/>
          <w:i/>
          <w:color w:val="0000FF"/>
          <w:szCs w:val="20"/>
          <w:lang w:eastAsia="it-IT"/>
        </w:rPr>
        <w:t>Rivendicazione</w:t>
      </w:r>
      <w:r w:rsidRPr="005D07DD">
        <w:rPr>
          <w:rFonts w:eastAsia="Times New Roman" w:cs="Times New Roman"/>
          <w:color w:val="0000FF"/>
          <w:szCs w:val="20"/>
          <w:lang w:eastAsia="it-IT"/>
        </w:rPr>
        <w:t xml:space="preserve"> è tutt’altro che un’opera conservatrice, è forse la prima espressione moderna dell’anarchismo razionalista e individualista. Solo che è un anarchismo esclusivamente negativo, contro lo Stato, senza disegnare in positivo i tratti di una società ideale, per cui a quest’opera hanno fatto riferimento anarchici sia collettivisti sia individualisti: di </w:t>
      </w:r>
      <w:r w:rsidRPr="005D07DD">
        <w:rPr>
          <w:rFonts w:eastAsia="Times New Roman" w:cs="Times New Roman"/>
          <w:i/>
          <w:color w:val="0000FF"/>
          <w:szCs w:val="20"/>
          <w:lang w:eastAsia="it-IT"/>
        </w:rPr>
        <w:t>Rivendicazione</w:t>
      </w:r>
      <w:r w:rsidRPr="005D07DD">
        <w:rPr>
          <w:rFonts w:eastAsia="Times New Roman" w:cs="Times New Roman"/>
          <w:color w:val="0000FF"/>
          <w:szCs w:val="20"/>
          <w:lang w:eastAsia="it-IT"/>
        </w:rPr>
        <w:t xml:space="preserve"> si approprierà l’anarchico collettivista Godwin, considerandola precorritrice della sua visione, ma anche l’anarchico individualista Tucker. Tuttavia non vi è alcuna ostilità verso la proprietà privata, dunque sarebbe più corretto collocare l’opera nel campo individualista.</w:t>
      </w:r>
    </w:p>
    <w:p w14:paraId="6C4C72AB" w14:textId="77777777" w:rsidR="005D07DD" w:rsidRPr="005D07DD" w:rsidRDefault="005D07DD" w:rsidP="005D07DD">
      <w:pPr>
        <w:rPr>
          <w:rFonts w:eastAsia="Times New Roman" w:cs="Times New Roman"/>
          <w:color w:val="0000FF"/>
          <w:szCs w:val="20"/>
          <w:lang w:eastAsia="it-IT"/>
        </w:rPr>
      </w:pPr>
      <w:r w:rsidRPr="005D07DD">
        <w:rPr>
          <w:rFonts w:eastAsia="Times New Roman" w:cs="Times New Roman"/>
          <w:color w:val="0000FF"/>
          <w:szCs w:val="20"/>
          <w:lang w:eastAsia="it-IT"/>
        </w:rPr>
        <w:t>Per quanto riguarda poi il presunto attacco alla ragione, B. attacca i razionalisti in errore, quelli che vogliono pianificare le vite altrui; non sono abbastanza razionalisti da comprendere la razionalità della libertà. Essi applicano una “ragione artificiale”, non la “ragione naturale”.</w:t>
      </w:r>
    </w:p>
    <w:p w14:paraId="4BD80514" w14:textId="77777777" w:rsidR="005D07DD" w:rsidRPr="005D07DD" w:rsidRDefault="005D07DD" w:rsidP="005D07DD">
      <w:pPr>
        <w:rPr>
          <w:rFonts w:eastAsia="Times New Roman" w:cs="Times New Roman"/>
          <w:szCs w:val="20"/>
          <w:lang w:eastAsia="it-IT"/>
        </w:rPr>
      </w:pPr>
      <w:r w:rsidRPr="005D07DD">
        <w:rPr>
          <w:rFonts w:eastAsia="Times New Roman" w:cs="Times New Roman"/>
          <w:color w:val="0000FF"/>
          <w:szCs w:val="20"/>
          <w:lang w:eastAsia="it-IT"/>
        </w:rPr>
        <w:t xml:space="preserve">Alcuni anni dopo la pubblicazione B. disse che l’opera era una satira contro i razionalisti deisti come Lord Bolingbroke, per dimostrare che la devozione alla ragione e l’attacco alla religione conduce a un attacco sovversivo allo Stato in sé. Gli studiosi quindi hanno in genere sottovalutato l’opera, e individuato le vere posizioni di B. nelle opere successive. Ma non è vero che </w:t>
      </w:r>
      <w:r w:rsidRPr="005D07DD">
        <w:rPr>
          <w:rFonts w:eastAsia="Times New Roman" w:cs="Times New Roman"/>
          <w:i/>
          <w:color w:val="0000FF"/>
          <w:szCs w:val="20"/>
          <w:lang w:eastAsia="it-IT"/>
        </w:rPr>
        <w:t>Rivendicazione</w:t>
      </w:r>
      <w:r w:rsidRPr="005D07DD">
        <w:rPr>
          <w:rFonts w:eastAsia="Times New Roman" w:cs="Times New Roman"/>
          <w:color w:val="0000FF"/>
          <w:szCs w:val="20"/>
          <w:lang w:eastAsia="it-IT"/>
        </w:rPr>
        <w:t xml:space="preserve"> è ironica, B. disse così perché, acquisita la notorietà da parlamentare, non voleva rischiare la sua carriera attribuendosi la paternità di tesi così radicali; ma quando la scrisse era serio. E a conferma di ciò, l’opera era stata pubblicata anonima; B. avrebbe potuto dire che era satirica al momento della pubblicazione, e così non preoccuparsi di mantenere l’anonimato, invece non lo fece</w:t>
      </w:r>
      <w:r w:rsidRPr="005D07DD">
        <w:rPr>
          <w:rFonts w:eastAsia="Times New Roman" w:cs="Times New Roman"/>
          <w:color w:val="0000FF"/>
          <w:szCs w:val="20"/>
          <w:vertAlign w:val="superscript"/>
          <w:lang w:eastAsia="it-IT"/>
        </w:rPr>
        <w:footnoteReference w:id="2"/>
      </w:r>
      <w:r w:rsidRPr="005D07DD">
        <w:rPr>
          <w:rFonts w:eastAsia="Times New Roman" w:cs="Times New Roman"/>
          <w:color w:val="0000FF"/>
          <w:szCs w:val="20"/>
          <w:lang w:eastAsia="it-IT"/>
        </w:rPr>
        <w:t>.</w:t>
      </w:r>
    </w:p>
    <w:p w14:paraId="3947ACF4" w14:textId="77777777" w:rsidR="005D07DD" w:rsidRPr="005D07DD" w:rsidRDefault="005D07DD" w:rsidP="005D07DD">
      <w:pPr>
        <w:rPr>
          <w:rFonts w:eastAsia="Times New Roman" w:cs="Times New Roman"/>
          <w:szCs w:val="20"/>
          <w:lang w:eastAsia="it-IT"/>
        </w:rPr>
      </w:pPr>
    </w:p>
    <w:p w14:paraId="0DC2DA92" w14:textId="77777777" w:rsidR="005D07DD" w:rsidRPr="005D07DD" w:rsidRDefault="005D07DD" w:rsidP="005D07DD">
      <w:pPr>
        <w:rPr>
          <w:rFonts w:eastAsia="Times New Roman" w:cs="Times New Roman"/>
          <w:szCs w:val="20"/>
          <w:lang w:eastAsia="it-IT"/>
        </w:rPr>
      </w:pPr>
      <w:r w:rsidRPr="005D07DD">
        <w:rPr>
          <w:rFonts w:eastAsia="Times New Roman" w:cs="Times New Roman"/>
          <w:i/>
          <w:szCs w:val="20"/>
          <w:lang w:eastAsia="it-IT"/>
        </w:rPr>
        <w:t>Riflessioni sulla rivoluzione in Francia</w:t>
      </w:r>
      <w:r w:rsidRPr="005D07DD">
        <w:rPr>
          <w:rFonts w:eastAsia="Times New Roman" w:cs="Times New Roman"/>
          <w:szCs w:val="20"/>
          <w:vertAlign w:val="superscript"/>
          <w:lang w:eastAsia="it-IT"/>
        </w:rPr>
        <w:footnoteReference w:id="3"/>
      </w:r>
      <w:r w:rsidRPr="005D07DD">
        <w:rPr>
          <w:rFonts w:eastAsia="Times New Roman" w:cs="Times New Roman"/>
          <w:szCs w:val="20"/>
          <w:lang w:eastAsia="it-IT"/>
        </w:rPr>
        <w:t xml:space="preserve"> (1790)</w:t>
      </w:r>
    </w:p>
    <w:p w14:paraId="0747C2EC" w14:textId="77777777" w:rsidR="005D07DD" w:rsidRPr="005D07DD" w:rsidRDefault="005D07DD" w:rsidP="005D07DD">
      <w:pPr>
        <w:rPr>
          <w:rFonts w:eastAsia="Times New Roman" w:cs="Times New Roman"/>
          <w:szCs w:val="20"/>
          <w:lang w:eastAsia="it-IT"/>
        </w:rPr>
      </w:pPr>
      <w:r w:rsidRPr="005D07DD">
        <w:rPr>
          <w:rFonts w:eastAsia="Times New Roman" w:cs="Times New Roman"/>
          <w:szCs w:val="20"/>
          <w:lang w:eastAsia="it-IT"/>
        </w:rPr>
        <w:t>L’opera non rappresenta lo sviluppo di una teoria politica sistematica, tuttavia vi sono articolati i principi e le assunzioni che giustificano il ripudio dell’illuminismo alla base della Rivoluzione francese.</w:t>
      </w:r>
    </w:p>
    <w:p w14:paraId="670D8DD5" w14:textId="77777777" w:rsidR="005D07DD" w:rsidRPr="005D07DD" w:rsidRDefault="005D07DD" w:rsidP="005D07DD">
      <w:pPr>
        <w:rPr>
          <w:rFonts w:eastAsia="Times New Roman" w:cs="Times New Roman"/>
          <w:szCs w:val="20"/>
          <w:lang w:eastAsia="it-IT"/>
        </w:rPr>
      </w:pPr>
      <w:r w:rsidRPr="005D07DD">
        <w:rPr>
          <w:rFonts w:eastAsia="Times New Roman" w:cs="Times New Roman"/>
          <w:szCs w:val="20"/>
          <w:lang w:eastAsia="it-IT"/>
        </w:rPr>
        <w:t xml:space="preserve">La Rivoluzione francese è ispirata a un principio: la società deve essere ricostruita </w:t>
      </w:r>
      <w:r w:rsidRPr="005D07DD">
        <w:rPr>
          <w:rFonts w:eastAsia="Times New Roman" w:cs="Times New Roman"/>
          <w:i/>
          <w:szCs w:val="20"/>
          <w:lang w:eastAsia="it-IT"/>
        </w:rPr>
        <w:t xml:space="preserve">ex novo </w:t>
      </w:r>
      <w:r w:rsidRPr="005D07DD">
        <w:rPr>
          <w:rFonts w:eastAsia="Times New Roman" w:cs="Times New Roman"/>
          <w:szCs w:val="20"/>
          <w:lang w:eastAsia="it-IT"/>
        </w:rPr>
        <w:t xml:space="preserve">mediante la ragione; questa ragione illuministica che nega il passato è una ragione astratta, le cui enunciazioni sono formulate come degli “assoluti metafisici”, e non ha alcun riscontro con la realtà. Gli uomini diventano oggetto di esperimenti sociali, come i topi in laboratorio. I diritti dell’uomo, il </w:t>
      </w:r>
      <w:r w:rsidRPr="005D07DD">
        <w:rPr>
          <w:rFonts w:eastAsia="Times New Roman" w:cs="Times New Roman"/>
          <w:szCs w:val="20"/>
          <w:lang w:eastAsia="it-IT"/>
        </w:rPr>
        <w:lastRenderedPageBreak/>
        <w:t>concetto di popolo come molteplicità di individui, l’egualitarismo, sono nozioni metafisiche e quindi perniciose. La sregolatezza sostituisce l’antica morale basata sulla temperanza, la disciplina, le virtù severe.</w:t>
      </w:r>
    </w:p>
    <w:p w14:paraId="0E0703C4" w14:textId="77777777" w:rsidR="005D07DD" w:rsidRPr="005D07DD" w:rsidRDefault="005D07DD" w:rsidP="005D07DD">
      <w:pPr>
        <w:rPr>
          <w:rFonts w:eastAsia="Times New Roman" w:cs="Times New Roman"/>
          <w:szCs w:val="20"/>
          <w:lang w:eastAsia="it-IT"/>
        </w:rPr>
      </w:pPr>
      <w:r w:rsidRPr="005D07DD">
        <w:rPr>
          <w:rFonts w:eastAsia="Times New Roman" w:cs="Times New Roman"/>
          <w:szCs w:val="20"/>
          <w:lang w:eastAsia="it-IT"/>
        </w:rPr>
        <w:t>Gli esiti di questa ragione che non ammette errori sono autoritari; la disarticolazione della società francese ha lasciato in piedi un solo corpo intermedio, l’esercito; il generale che ne riscuoterà la fiducia sarà il padrone della Francia (acuta previsione dell’avvento di Napoleone).</w:t>
      </w:r>
    </w:p>
    <w:p w14:paraId="3E283272" w14:textId="4CEF1BA4" w:rsidR="005D07DD" w:rsidRPr="005D07DD" w:rsidRDefault="005D07DD" w:rsidP="005D07DD">
      <w:pPr>
        <w:rPr>
          <w:rFonts w:eastAsia="Times New Roman" w:cs="Times New Roman"/>
          <w:color w:val="4472C4"/>
          <w:szCs w:val="20"/>
          <w:lang w:eastAsia="it-IT"/>
        </w:rPr>
      </w:pPr>
      <w:r w:rsidRPr="005D07DD">
        <w:rPr>
          <w:rFonts w:eastAsia="Times New Roman" w:cs="Times New Roman"/>
          <w:szCs w:val="20"/>
          <w:lang w:eastAsia="it-IT"/>
        </w:rPr>
        <w:t>La politica deve plasmarsi sull’esperienza, non su un modello a priori</w:t>
      </w:r>
      <w:r w:rsidR="007E4EBE">
        <w:rPr>
          <w:rFonts w:eastAsia="Times New Roman" w:cs="Times New Roman"/>
          <w:szCs w:val="20"/>
          <w:lang w:eastAsia="it-IT"/>
        </w:rPr>
        <w:t xml:space="preserve"> e sul contrattualismo</w:t>
      </w:r>
      <w:r w:rsidRPr="005D07DD">
        <w:rPr>
          <w:rFonts w:eastAsia="Times New Roman" w:cs="Times New Roman"/>
          <w:szCs w:val="20"/>
          <w:lang w:eastAsia="it-IT"/>
        </w:rPr>
        <w:t xml:space="preserve">; </w:t>
      </w:r>
      <w:proofErr w:type="gramStart"/>
      <w:r w:rsidRPr="005D07DD">
        <w:rPr>
          <w:rFonts w:eastAsia="Times New Roman" w:cs="Times New Roman"/>
          <w:szCs w:val="20"/>
          <w:lang w:eastAsia="it-IT"/>
        </w:rPr>
        <w:t>dunque</w:t>
      </w:r>
      <w:proofErr w:type="gramEnd"/>
      <w:r w:rsidRPr="005D07DD">
        <w:rPr>
          <w:rFonts w:eastAsia="Times New Roman" w:cs="Times New Roman"/>
          <w:szCs w:val="20"/>
          <w:lang w:eastAsia="it-IT"/>
        </w:rPr>
        <w:t xml:space="preserve"> elogio di tutto ciò che è storico (istituzioni, leggi, tradizioni, costumi, credenze), in quanto sanzionato dal tempo e dall’esperienza, valutazione positiva dell’adesione sentimentale ai contenuti venerandi. </w:t>
      </w:r>
      <w:r w:rsidRPr="005D07DD">
        <w:rPr>
          <w:rFonts w:eastAsia="Times New Roman" w:cs="Times New Roman"/>
          <w:color w:val="4472C4"/>
          <w:szCs w:val="20"/>
          <w:lang w:eastAsia="it-IT"/>
        </w:rPr>
        <w:t>L. Strauss: dal punto di vista della filosofia politica, le osservazioni sul problema della teoria e della pratica sono la parte più importante della sua opera. La teoria e lo spirito speculativo non possono essere la guida dell’azione. Nessuno prima di Burke aveva parlato di questo argomento con uguale forza di accenti</w:t>
      </w:r>
      <w:r w:rsidRPr="005D07DD">
        <w:rPr>
          <w:rFonts w:eastAsia="Times New Roman" w:cs="Times New Roman"/>
          <w:color w:val="4472C4"/>
          <w:szCs w:val="20"/>
          <w:vertAlign w:val="superscript"/>
          <w:lang w:eastAsia="it-IT"/>
        </w:rPr>
        <w:footnoteReference w:id="4"/>
      </w:r>
      <w:r w:rsidRPr="005D07DD">
        <w:rPr>
          <w:rFonts w:eastAsia="Times New Roman" w:cs="Times New Roman"/>
          <w:color w:val="4472C4"/>
          <w:szCs w:val="20"/>
          <w:lang w:eastAsia="it-IT"/>
        </w:rPr>
        <w:t>.</w:t>
      </w:r>
    </w:p>
    <w:p w14:paraId="27241AC1" w14:textId="77777777" w:rsidR="005D07DD" w:rsidRPr="005D07DD" w:rsidRDefault="005D07DD" w:rsidP="005D07DD">
      <w:pPr>
        <w:rPr>
          <w:rFonts w:eastAsia="Times New Roman" w:cs="Times New Roman"/>
          <w:szCs w:val="20"/>
          <w:lang w:eastAsia="it-IT"/>
        </w:rPr>
      </w:pPr>
      <w:r w:rsidRPr="005D07DD">
        <w:rPr>
          <w:rFonts w:eastAsia="Times New Roman" w:cs="Times New Roman"/>
          <w:szCs w:val="20"/>
          <w:lang w:eastAsia="it-IT"/>
        </w:rPr>
        <w:t>Il presente esiste solo in quanto è alimentato dal passato; e testimonia la personalità di un popolo, che, seguendo gli insegnamenti di Aristotele, è un’unità reale, una comunità organica, una complessa moltitudine di interrelazioni; e ciascuna società è unica, essendosi evoluta nel tempo sotto circostanze diverse. Elemento tipico del conservatorismo è il fatto che la religione e il culto sono fattori di ordine e di stabilità. Nessuna singola generazione possiede la saggezza e le conoscenze tali da potersi permettere di modellare la società a piacimento.</w:t>
      </w:r>
    </w:p>
    <w:p w14:paraId="2F2321B3" w14:textId="77777777" w:rsidR="005D07DD" w:rsidRPr="005D07DD" w:rsidRDefault="005D07DD" w:rsidP="005D07DD">
      <w:pPr>
        <w:rPr>
          <w:rFonts w:eastAsia="Times New Roman" w:cs="Times New Roman"/>
          <w:szCs w:val="20"/>
          <w:lang w:eastAsia="it-IT"/>
        </w:rPr>
      </w:pPr>
      <w:r w:rsidRPr="005D07DD">
        <w:rPr>
          <w:rFonts w:eastAsia="Times New Roman" w:cs="Times New Roman"/>
          <w:szCs w:val="20"/>
          <w:lang w:eastAsia="it-IT"/>
        </w:rPr>
        <w:t>Elitismo e principio di gerarchia, fondamento del conservatorismo moderno: la democrazia elimina l’onore e il rango sociale e li sostituisce con la mediocrità della massa.</w:t>
      </w:r>
    </w:p>
    <w:p w14:paraId="71D0A3B8" w14:textId="77777777" w:rsidR="005D07DD" w:rsidRPr="005D07DD" w:rsidRDefault="005D07DD" w:rsidP="005D07DD">
      <w:pPr>
        <w:rPr>
          <w:rFonts w:eastAsia="Times New Roman" w:cs="Times New Roman"/>
          <w:szCs w:val="20"/>
          <w:lang w:eastAsia="it-IT"/>
        </w:rPr>
      </w:pPr>
      <w:r w:rsidRPr="005D07DD">
        <w:rPr>
          <w:rFonts w:eastAsia="Times New Roman" w:cs="Times New Roman"/>
          <w:szCs w:val="20"/>
          <w:lang w:eastAsia="it-IT"/>
        </w:rPr>
        <w:t>Lo Stato è l’entità che contiene in sé i principi, i valori, gli ideali di un popolo, scaturisce dalle tradizioni di un popolo, le sue istituzioni politiche sono connesse alle forme storiche assunte dalla società, non è il frutto di un contratto</w:t>
      </w:r>
      <w:r w:rsidRPr="005D07DD">
        <w:rPr>
          <w:rFonts w:eastAsia="Times New Roman" w:cs="Times New Roman"/>
          <w:szCs w:val="20"/>
          <w:vertAlign w:val="superscript"/>
          <w:lang w:eastAsia="it-IT"/>
        </w:rPr>
        <w:footnoteReference w:id="5"/>
      </w:r>
      <w:r w:rsidRPr="005D07DD">
        <w:rPr>
          <w:rFonts w:eastAsia="Times New Roman" w:cs="Times New Roman"/>
          <w:szCs w:val="20"/>
          <w:lang w:eastAsia="it-IT"/>
        </w:rPr>
        <w:t>.</w:t>
      </w:r>
    </w:p>
    <w:p w14:paraId="6C25C5EC" w14:textId="77777777" w:rsidR="005D07DD" w:rsidRPr="005D07DD" w:rsidRDefault="005D07DD" w:rsidP="005D07DD">
      <w:pPr>
        <w:rPr>
          <w:rFonts w:eastAsia="Times New Roman" w:cs="Times New Roman"/>
          <w:szCs w:val="20"/>
          <w:lang w:eastAsia="it-IT"/>
        </w:rPr>
      </w:pPr>
      <w:r w:rsidRPr="005D07DD">
        <w:rPr>
          <w:rFonts w:eastAsia="Times New Roman" w:cs="Times New Roman"/>
          <w:szCs w:val="20"/>
          <w:lang w:eastAsia="it-IT"/>
        </w:rPr>
        <w:t xml:space="preserve">La costituzione quindi deve essere l’espressione dell’esperienza di un popolo, non una mera astrazione. Superiorità della </w:t>
      </w:r>
      <w:r w:rsidRPr="005D07DD">
        <w:rPr>
          <w:rFonts w:eastAsia="Times New Roman" w:cs="Times New Roman"/>
          <w:i/>
          <w:szCs w:val="20"/>
          <w:lang w:eastAsia="it-IT"/>
        </w:rPr>
        <w:t xml:space="preserve">common </w:t>
      </w:r>
      <w:proofErr w:type="spellStart"/>
      <w:r w:rsidRPr="005D07DD">
        <w:rPr>
          <w:rFonts w:eastAsia="Times New Roman" w:cs="Times New Roman"/>
          <w:i/>
          <w:szCs w:val="20"/>
          <w:lang w:eastAsia="it-IT"/>
        </w:rPr>
        <w:t>law</w:t>
      </w:r>
      <w:proofErr w:type="spellEnd"/>
      <w:r w:rsidRPr="005D07DD">
        <w:rPr>
          <w:rFonts w:eastAsia="Times New Roman" w:cs="Times New Roman"/>
          <w:szCs w:val="20"/>
          <w:lang w:eastAsia="it-IT"/>
        </w:rPr>
        <w:t>, che valorizza la storia passata, e in generale delle istituzioni inglesi.</w:t>
      </w:r>
    </w:p>
    <w:p w14:paraId="0026E726" w14:textId="77777777" w:rsidR="005D07DD" w:rsidRPr="005D07DD" w:rsidRDefault="005D07DD" w:rsidP="005D07DD">
      <w:pPr>
        <w:rPr>
          <w:rFonts w:eastAsia="Times New Roman" w:cs="Times New Roman"/>
          <w:szCs w:val="20"/>
          <w:lang w:eastAsia="it-IT"/>
        </w:rPr>
      </w:pPr>
      <w:r w:rsidRPr="005D07DD">
        <w:rPr>
          <w:rFonts w:eastAsia="Times New Roman" w:cs="Times New Roman"/>
          <w:szCs w:val="20"/>
          <w:lang w:eastAsia="it-IT"/>
        </w:rPr>
        <w:t xml:space="preserve">Tradizione non significa pura e semplice conservazione; con moderazione e cautela nell’azione politica possono essere realizzate delle riforme, rettificando quando i provvedimenti assunti non hanno dato i risultati sperati. </w:t>
      </w:r>
    </w:p>
    <w:p w14:paraId="6F7E4C62" w14:textId="77777777" w:rsidR="005D07DD" w:rsidRPr="005D07DD" w:rsidRDefault="005D07DD" w:rsidP="005D07DD">
      <w:pPr>
        <w:rPr>
          <w:rFonts w:eastAsia="Times New Roman" w:cs="Times New Roman"/>
          <w:color w:val="3333CC"/>
          <w:szCs w:val="20"/>
          <w:lang w:eastAsia="it-IT"/>
        </w:rPr>
      </w:pPr>
      <w:r w:rsidRPr="005D07DD">
        <w:rPr>
          <w:rFonts w:eastAsia="Times New Roman" w:cs="Times New Roman"/>
          <w:color w:val="3333CC"/>
          <w:szCs w:val="20"/>
          <w:lang w:eastAsia="it-IT"/>
        </w:rPr>
        <w:t>J.M. Kelly: per questi argomenti va considerato il padre della giurisprudenza storica.</w:t>
      </w:r>
    </w:p>
    <w:p w14:paraId="5B45328E" w14:textId="77777777" w:rsidR="005D07DD" w:rsidRPr="005D07DD" w:rsidRDefault="005D07DD" w:rsidP="005D07DD">
      <w:pPr>
        <w:rPr>
          <w:rFonts w:eastAsia="Times New Roman" w:cs="Times New Roman"/>
          <w:color w:val="3333CC"/>
          <w:szCs w:val="20"/>
          <w:lang w:eastAsia="it-IT"/>
        </w:rPr>
      </w:pPr>
      <w:r w:rsidRPr="005D07DD">
        <w:rPr>
          <w:rFonts w:eastAsia="Times New Roman" w:cs="Times New Roman"/>
          <w:color w:val="3333CC"/>
          <w:szCs w:val="20"/>
          <w:lang w:eastAsia="it-IT"/>
        </w:rPr>
        <w:t>G. Miglio: B. è stato accusato d’incoerenza perché in casa propria combatte il tentativo della monarchia (contro il parlamento) di restaurare i propri privilegi, mentre guardando alla Francia inorridisce di fronte alle dottrine e alle azioni dei rivoluzionari che, di fatto, sono parlamentari che hanno dichiarato guerra a un sovrano assolutista. In realtà B. incarna l’ideale borghese dell’equilibrio; la costituzione è fatta di poteri che si bilanciano (</w:t>
      </w:r>
      <w:r w:rsidRPr="005D07DD">
        <w:rPr>
          <w:rFonts w:eastAsia="Times New Roman" w:cs="Times New Roman"/>
          <w:i/>
          <w:color w:val="3333CC"/>
          <w:szCs w:val="20"/>
          <w:lang w:eastAsia="it-IT"/>
        </w:rPr>
        <w:t>checks and balances</w:t>
      </w:r>
      <w:r w:rsidRPr="005D07DD">
        <w:rPr>
          <w:rFonts w:eastAsia="Times New Roman" w:cs="Times New Roman"/>
          <w:color w:val="3333CC"/>
          <w:szCs w:val="20"/>
          <w:lang w:eastAsia="it-IT"/>
        </w:rPr>
        <w:t>) in una sorta di “giusto mezzo” dell’azione pubblica.</w:t>
      </w:r>
    </w:p>
    <w:p w14:paraId="08B1497B" w14:textId="77777777" w:rsidR="005D07DD" w:rsidRPr="005D07DD" w:rsidRDefault="005D07DD" w:rsidP="005D07DD">
      <w:pPr>
        <w:rPr>
          <w:rFonts w:eastAsia="Times New Roman" w:cs="Times New Roman"/>
          <w:szCs w:val="20"/>
          <w:lang w:eastAsia="it-IT"/>
        </w:rPr>
      </w:pPr>
    </w:p>
    <w:p w14:paraId="1C45B31C" w14:textId="77777777" w:rsidR="000B101F" w:rsidRDefault="000B101F"/>
    <w:sectPr w:rsidR="000B10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56CD9" w14:textId="77777777" w:rsidR="005D07DD" w:rsidRDefault="005D07DD" w:rsidP="005D07DD">
      <w:r>
        <w:separator/>
      </w:r>
    </w:p>
  </w:endnote>
  <w:endnote w:type="continuationSeparator" w:id="0">
    <w:p w14:paraId="41A5125C" w14:textId="77777777" w:rsidR="005D07DD" w:rsidRDefault="005D07DD" w:rsidP="005D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2F33" w14:textId="77777777" w:rsidR="005D07DD" w:rsidRDefault="005D07DD" w:rsidP="005D07DD">
      <w:r>
        <w:separator/>
      </w:r>
    </w:p>
  </w:footnote>
  <w:footnote w:type="continuationSeparator" w:id="0">
    <w:p w14:paraId="4F0C06B1" w14:textId="77777777" w:rsidR="005D07DD" w:rsidRDefault="005D07DD" w:rsidP="005D07DD">
      <w:r>
        <w:continuationSeparator/>
      </w:r>
    </w:p>
  </w:footnote>
  <w:footnote w:id="1">
    <w:p w14:paraId="3DA7A997" w14:textId="24A46C1D" w:rsidR="00722C6D" w:rsidRDefault="00722C6D" w:rsidP="00722C6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Va precisato che Burke non considerava sé stesso un </w:t>
      </w:r>
      <w:r w:rsidRPr="00722C6D">
        <w:rPr>
          <w:i/>
          <w:iCs/>
        </w:rPr>
        <w:t>tory</w:t>
      </w:r>
      <w:r>
        <w:t>; ma, come si vedrà più avanti, un avversario della trasposizione del razionalismo in politica, quello che oggi verrebbe definito “costruttivismo”.</w:t>
      </w:r>
    </w:p>
  </w:footnote>
  <w:footnote w:id="2">
    <w:p w14:paraId="145CA9A3" w14:textId="1DC9324C" w:rsidR="005D07DD" w:rsidRPr="00D908CA" w:rsidRDefault="005D07DD" w:rsidP="005D07DD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D908CA">
        <w:rPr>
          <w:lang w:val="en-US"/>
        </w:rPr>
        <w:t xml:space="preserve"> </w:t>
      </w:r>
      <w:r>
        <w:rPr>
          <w:lang w:val="en-US"/>
        </w:rPr>
        <w:t xml:space="preserve">M.N. Rothbard, </w:t>
      </w:r>
      <w:hyperlink r:id="rId1" w:history="1">
        <w:r w:rsidRPr="00685541">
          <w:rPr>
            <w:rStyle w:val="Collegamentoipertestuale"/>
            <w:i/>
            <w:iCs/>
            <w:lang w:val="en-US"/>
          </w:rPr>
          <w:t>A Note on Burke’s Vindication of Natural Society</w:t>
        </w:r>
      </w:hyperlink>
      <w:r w:rsidRPr="00D908CA">
        <w:rPr>
          <w:color w:val="000000"/>
          <w:lang w:val="en-US"/>
        </w:rPr>
        <w:t xml:space="preserve">, in </w:t>
      </w:r>
      <w:r w:rsidR="00722C6D">
        <w:rPr>
          <w:color w:val="000000"/>
          <w:lang w:val="en-US"/>
        </w:rPr>
        <w:t>“</w:t>
      </w:r>
      <w:r w:rsidRPr="00D908CA">
        <w:rPr>
          <w:color w:val="000000"/>
          <w:lang w:val="en-US"/>
        </w:rPr>
        <w:t>Journal of the History of Ideas</w:t>
      </w:r>
      <w:r w:rsidR="00722C6D">
        <w:rPr>
          <w:color w:val="000000"/>
          <w:lang w:val="en-US"/>
        </w:rPr>
        <w:t>”</w:t>
      </w:r>
      <w:r w:rsidRPr="00D908CA">
        <w:rPr>
          <w:color w:val="000000"/>
          <w:lang w:val="en-US"/>
        </w:rPr>
        <w:t xml:space="preserve">, </w:t>
      </w:r>
      <w:proofErr w:type="spellStart"/>
      <w:r w:rsidRPr="00D908CA">
        <w:rPr>
          <w:color w:val="000000"/>
          <w:lang w:val="en-US"/>
        </w:rPr>
        <w:t>gennaio</w:t>
      </w:r>
      <w:proofErr w:type="spellEnd"/>
      <w:r w:rsidRPr="00D908CA">
        <w:rPr>
          <w:color w:val="000000"/>
          <w:lang w:val="en-US"/>
        </w:rPr>
        <w:t xml:space="preserve"> 1958</w:t>
      </w:r>
      <w:r>
        <w:rPr>
          <w:color w:val="000000"/>
          <w:lang w:val="en-US"/>
        </w:rPr>
        <w:t>.</w:t>
      </w:r>
    </w:p>
  </w:footnote>
  <w:footnote w:id="3">
    <w:p w14:paraId="41E47D4C" w14:textId="77777777" w:rsidR="005D07DD" w:rsidRPr="00715D64" w:rsidRDefault="005D07DD" w:rsidP="005D07D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E. Burke, </w:t>
      </w:r>
      <w:r w:rsidRPr="00715D64">
        <w:rPr>
          <w:i/>
        </w:rPr>
        <w:t>Riflessioni sulla rivoluzione in Francia</w:t>
      </w:r>
      <w:r>
        <w:t>, Ideazione Editrice, Roma, 1998.</w:t>
      </w:r>
    </w:p>
  </w:footnote>
  <w:footnote w:id="4">
    <w:p w14:paraId="75A7B774" w14:textId="77777777" w:rsidR="005D07DD" w:rsidRDefault="005D07DD" w:rsidP="005D07D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L. Strauss, </w:t>
      </w:r>
      <w:r w:rsidRPr="00082B0C">
        <w:rPr>
          <w:i/>
        </w:rPr>
        <w:t>Diritto e Storia</w:t>
      </w:r>
      <w:r>
        <w:t xml:space="preserve"> (1952), Neri Pozza, Venezia, 1957, p. 293.</w:t>
      </w:r>
    </w:p>
  </w:footnote>
  <w:footnote w:id="5">
    <w:p w14:paraId="3E35DE18" w14:textId="77777777" w:rsidR="005D07DD" w:rsidRDefault="005D07DD" w:rsidP="005D07D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Burke offre anche un contributo al diritto costituzionale, riformulando il concetto di rappresentanza in direzione di ciò che oggi viene definito “divieto di mandato imperativo”: il parlamentare non deve rappresentare gli interessi immediati dei propri elettori, ma il più generale interesse nazionale; e non dev’essere vincolato a disposizioni specifiche.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DD"/>
    <w:rsid w:val="000B101F"/>
    <w:rsid w:val="003E0731"/>
    <w:rsid w:val="005D07DD"/>
    <w:rsid w:val="00720420"/>
    <w:rsid w:val="00722C6D"/>
    <w:rsid w:val="007E4EBE"/>
    <w:rsid w:val="00BA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0B9BB"/>
  <w15:chartTrackingRefBased/>
  <w15:docId w15:val="{FC2CFAF6-F2C6-41A5-8F17-7CDFB405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5D07DD"/>
    <w:pPr>
      <w:ind w:firstLine="0"/>
      <w:jc w:val="left"/>
    </w:pPr>
    <w:rPr>
      <w:rFonts w:eastAsia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D07DD"/>
    <w:rPr>
      <w:rFonts w:eastAsia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5D07DD"/>
    <w:rPr>
      <w:vertAlign w:val="superscript"/>
    </w:rPr>
  </w:style>
  <w:style w:type="character" w:styleId="Enfasicorsivo">
    <w:name w:val="Emphasis"/>
    <w:uiPriority w:val="20"/>
    <w:qFormat/>
    <w:rsid w:val="005D07DD"/>
    <w:rPr>
      <w:i/>
      <w:iCs/>
    </w:rPr>
  </w:style>
  <w:style w:type="character" w:styleId="Collegamentoipertestuale">
    <w:name w:val="Hyperlink"/>
    <w:uiPriority w:val="99"/>
    <w:unhideWhenUsed/>
    <w:rsid w:val="005D07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ises.org/rothbard/burke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6BAB9-A7C3-4B82-811E-E044546E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Vernaglione</dc:creator>
  <cp:keywords/>
  <dc:description/>
  <cp:lastModifiedBy>Piero Vernaglione</cp:lastModifiedBy>
  <cp:revision>3</cp:revision>
  <dcterms:created xsi:type="dcterms:W3CDTF">2020-10-15T16:05:00Z</dcterms:created>
  <dcterms:modified xsi:type="dcterms:W3CDTF">2022-09-16T17:01:00Z</dcterms:modified>
</cp:coreProperties>
</file>